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spacing w:before="60" w:after="60" w:line="360" w:lineRule="exact"/>
        <w:ind w:leftChars="-13"/>
        <w:jc w:val="center"/>
        <w:rPr>
          <w:rFonts w:hint="eastAsia" w:ascii="黑体" w:hAnsi="黑体" w:eastAsia="黑体" w:cs="黑体"/>
          <w:sz w:val="36"/>
          <w:szCs w:val="36"/>
          <w:u w:val="none"/>
          <w:lang w:eastAsia="zh-CN"/>
        </w:rPr>
      </w:pPr>
      <w:r>
        <w:rPr>
          <w:rFonts w:hint="eastAsia" w:ascii="黑体" w:hAnsi="黑体" w:eastAsia="黑体" w:cs="黑体"/>
          <w:sz w:val="36"/>
          <w:szCs w:val="36"/>
          <w:u w:val="none"/>
        </w:rPr>
        <w:t>消防救援支队指挥中心办公家具项目</w:t>
      </w:r>
      <w:r>
        <w:rPr>
          <w:rFonts w:hint="eastAsia" w:ascii="黑体" w:hAnsi="黑体" w:eastAsia="黑体" w:cs="黑体"/>
          <w:sz w:val="36"/>
          <w:szCs w:val="36"/>
          <w:u w:val="none"/>
          <w:lang w:eastAsia="zh-CN"/>
        </w:rPr>
        <w:t>磋商文件</w:t>
      </w:r>
    </w:p>
    <w:p>
      <w:pPr>
        <w:numPr>
          <w:ilvl w:val="0"/>
          <w:numId w:val="0"/>
        </w:numPr>
        <w:spacing w:before="60" w:after="60" w:line="360" w:lineRule="exact"/>
        <w:ind w:leftChars="-13"/>
        <w:jc w:val="center"/>
        <w:rPr>
          <w:rFonts w:hint="eastAsia" w:ascii="黑体" w:hAnsi="黑体" w:eastAsia="黑体" w:cs="黑体"/>
          <w:sz w:val="36"/>
          <w:szCs w:val="36"/>
          <w:u w:val="none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u w:val="none"/>
          <w:lang w:eastAsia="zh-CN"/>
        </w:rPr>
        <w:t>更正内容</w:t>
      </w:r>
    </w:p>
    <w:p>
      <w:pPr>
        <w:numPr>
          <w:ilvl w:val="0"/>
          <w:numId w:val="0"/>
        </w:numPr>
        <w:spacing w:before="60" w:after="60" w:line="360" w:lineRule="exact"/>
        <w:ind w:leftChars="-13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spacing w:before="60" w:after="60" w:line="360" w:lineRule="exact"/>
        <w:ind w:leftChars="-13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现对磋商文件进行更正：</w:t>
      </w:r>
    </w:p>
    <w:p>
      <w:pPr>
        <w:numPr>
          <w:ilvl w:val="0"/>
          <w:numId w:val="0"/>
        </w:numPr>
        <w:spacing w:before="60" w:after="60" w:line="360" w:lineRule="exact"/>
        <w:ind w:leftChars="-13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1、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  <w:t>将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</w:rPr>
        <w:t>商务评议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eastAsia="zh-CN"/>
        </w:rPr>
        <w:t>中“</w:t>
      </w:r>
    </w:p>
    <w:tbl>
      <w:tblPr>
        <w:tblStyle w:val="2"/>
        <w:tblW w:w="4917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1257"/>
        <w:gridCol w:w="611"/>
        <w:gridCol w:w="59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568" w:type="dxa"/>
            <w:shd w:val="pct10" w:color="auto" w:fill="auto"/>
            <w:vAlign w:val="center"/>
          </w:tcPr>
          <w:p>
            <w:pPr>
              <w:ind w:left="-78" w:leftChars="-37" w:right="-86" w:rightChars="-41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序号</w:t>
            </w:r>
          </w:p>
        </w:tc>
        <w:tc>
          <w:tcPr>
            <w:tcW w:w="1257" w:type="dxa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评审因素</w:t>
            </w:r>
          </w:p>
        </w:tc>
        <w:tc>
          <w:tcPr>
            <w:tcW w:w="611" w:type="dxa"/>
            <w:shd w:val="pct10" w:color="auto" w:fill="auto"/>
            <w:vAlign w:val="center"/>
          </w:tcPr>
          <w:p>
            <w:pPr>
              <w:ind w:left="-73" w:leftChars="-35" w:right="-80" w:rightChars="-38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分值</w:t>
            </w:r>
          </w:p>
        </w:tc>
        <w:tc>
          <w:tcPr>
            <w:tcW w:w="5945" w:type="dxa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评分标准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568" w:type="dxa"/>
            <w:shd w:val="pct10" w:color="auto" w:fill="auto"/>
            <w:vAlign w:val="center"/>
          </w:tcPr>
          <w:p>
            <w:pPr>
              <w:numPr>
                <w:ilvl w:val="0"/>
                <w:numId w:val="0"/>
              </w:numPr>
              <w:ind w:leftChars="0" w:right="-86" w:rightChars="-41"/>
              <w:jc w:val="left"/>
              <w:rPr>
                <w:rFonts w:hint="eastAsia" w:asciiTheme="minorEastAsia" w:hAnsiTheme="minorEastAsia" w:eastAsiaTheme="minorEastAsia" w:cstheme="minorEastAsia"/>
                <w:b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 w:val="0"/>
                <w:sz w:val="21"/>
                <w:szCs w:val="21"/>
                <w:lang w:val="en-US" w:eastAsia="zh-CN"/>
              </w:rPr>
              <w:t>10.</w:t>
            </w:r>
          </w:p>
        </w:tc>
        <w:tc>
          <w:tcPr>
            <w:tcW w:w="1257" w:type="dxa"/>
            <w:vMerge w:val="restart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 w:val="0"/>
                <w:sz w:val="21"/>
                <w:szCs w:val="21"/>
                <w:lang w:eastAsia="zh-CN"/>
              </w:rPr>
              <w:t>综合实力</w:t>
            </w:r>
          </w:p>
        </w:tc>
        <w:tc>
          <w:tcPr>
            <w:tcW w:w="611" w:type="dxa"/>
            <w:shd w:val="pct10" w:color="auto" w:fill="auto"/>
            <w:vAlign w:val="center"/>
          </w:tcPr>
          <w:p>
            <w:pPr>
              <w:ind w:left="-73" w:leftChars="-35" w:right="-80" w:rightChars="-38"/>
              <w:jc w:val="center"/>
              <w:rPr>
                <w:rFonts w:hint="eastAsia" w:asciiTheme="minorEastAsia" w:hAnsiTheme="minorEastAsia" w:eastAsiaTheme="minorEastAsia" w:cstheme="minorEastAsia"/>
                <w:b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5945" w:type="dxa"/>
            <w:shd w:val="pct10" w:color="auto" w:fill="auto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  <w:t>供应商所提供的响应产品生产厂家获得行政主管部门颁发的“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重合同守信用企业认证证书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  <w:t>”（有效期内）得1分。（须提供证书彩色影印件并加盖厂家公章为依据，不提供不得分。）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568" w:type="dxa"/>
            <w:shd w:val="pct10" w:color="auto" w:fill="auto"/>
            <w:vAlign w:val="center"/>
          </w:tcPr>
          <w:p>
            <w:pPr>
              <w:numPr>
                <w:ilvl w:val="0"/>
                <w:numId w:val="0"/>
              </w:numPr>
              <w:ind w:leftChars="0" w:right="-86" w:rightChars="-41"/>
              <w:jc w:val="left"/>
              <w:rPr>
                <w:rFonts w:hint="eastAsia" w:asciiTheme="minorEastAsia" w:hAnsiTheme="minorEastAsia" w:eastAsiaTheme="minorEastAsia" w:cstheme="minorEastAsia"/>
                <w:b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 w:val="0"/>
                <w:sz w:val="21"/>
                <w:szCs w:val="21"/>
                <w:lang w:val="en-US" w:eastAsia="zh-CN"/>
              </w:rPr>
              <w:t>11.</w:t>
            </w:r>
          </w:p>
        </w:tc>
        <w:tc>
          <w:tcPr>
            <w:tcW w:w="1257" w:type="dxa"/>
            <w:vMerge w:val="continue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 w:val="0"/>
                <w:sz w:val="21"/>
                <w:szCs w:val="21"/>
                <w:lang w:eastAsia="zh-CN"/>
              </w:rPr>
            </w:pPr>
          </w:p>
        </w:tc>
        <w:tc>
          <w:tcPr>
            <w:tcW w:w="611" w:type="dxa"/>
            <w:shd w:val="pct10" w:color="auto" w:fill="auto"/>
            <w:vAlign w:val="center"/>
          </w:tcPr>
          <w:p>
            <w:pPr>
              <w:ind w:left="-73" w:leftChars="-35" w:right="-80" w:rightChars="-38"/>
              <w:jc w:val="center"/>
              <w:rPr>
                <w:rFonts w:hint="eastAsia" w:asciiTheme="minorEastAsia" w:hAnsiTheme="minorEastAsia" w:eastAsiaTheme="minorEastAsia" w:cstheme="minorEastAsia"/>
                <w:b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5945" w:type="dxa"/>
            <w:shd w:val="pct10" w:color="auto" w:fill="auto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  <w:t>供应商所提供的响应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产品生产厂家获得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“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中国绿色节能环保产品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”得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1分。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  <w:t>（须提供证书彩色影印件并加盖厂家公章为依据，不提供不得分。）</w:t>
            </w:r>
          </w:p>
        </w:tc>
      </w:tr>
    </w:tbl>
    <w:p>
      <w:pPr>
        <w:numPr>
          <w:ilvl w:val="0"/>
          <w:numId w:val="0"/>
        </w:numPr>
        <w:spacing w:before="60" w:after="60" w:line="360" w:lineRule="exact"/>
        <w:ind w:leftChars="-13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eastAsia="zh-CN"/>
        </w:rPr>
        <w:t>”更正为“</w:t>
      </w:r>
    </w:p>
    <w:tbl>
      <w:tblPr>
        <w:tblStyle w:val="2"/>
        <w:tblW w:w="4917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1257"/>
        <w:gridCol w:w="611"/>
        <w:gridCol w:w="59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568" w:type="dxa"/>
            <w:shd w:val="pct10" w:color="auto" w:fill="auto"/>
            <w:vAlign w:val="center"/>
          </w:tcPr>
          <w:p>
            <w:pPr>
              <w:ind w:left="-78" w:leftChars="-37" w:right="-86" w:rightChars="-41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序号</w:t>
            </w:r>
          </w:p>
        </w:tc>
        <w:tc>
          <w:tcPr>
            <w:tcW w:w="1257" w:type="dxa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评审因素</w:t>
            </w:r>
          </w:p>
        </w:tc>
        <w:tc>
          <w:tcPr>
            <w:tcW w:w="611" w:type="dxa"/>
            <w:shd w:val="pct10" w:color="auto" w:fill="auto"/>
            <w:vAlign w:val="center"/>
          </w:tcPr>
          <w:p>
            <w:pPr>
              <w:ind w:left="-73" w:leftChars="-35" w:right="-80" w:rightChars="-38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分值</w:t>
            </w:r>
          </w:p>
        </w:tc>
        <w:tc>
          <w:tcPr>
            <w:tcW w:w="5945" w:type="dxa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评分标准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568" w:type="dxa"/>
            <w:shd w:val="pct10" w:color="auto" w:fill="auto"/>
            <w:vAlign w:val="center"/>
          </w:tcPr>
          <w:p>
            <w:pPr>
              <w:numPr>
                <w:ilvl w:val="0"/>
                <w:numId w:val="0"/>
              </w:numPr>
              <w:ind w:leftChars="0" w:right="-86" w:rightChars="-41"/>
              <w:jc w:val="left"/>
              <w:rPr>
                <w:rFonts w:hint="eastAsia" w:asciiTheme="minorEastAsia" w:hAnsiTheme="minorEastAsia" w:eastAsiaTheme="minorEastAsia" w:cstheme="minorEastAsia"/>
                <w:b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 w:val="0"/>
                <w:sz w:val="21"/>
                <w:szCs w:val="21"/>
                <w:lang w:val="en-US" w:eastAsia="zh-CN"/>
              </w:rPr>
              <w:t>10.</w:t>
            </w:r>
          </w:p>
        </w:tc>
        <w:tc>
          <w:tcPr>
            <w:tcW w:w="1257" w:type="dxa"/>
            <w:vMerge w:val="restart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 w:val="0"/>
                <w:sz w:val="21"/>
                <w:szCs w:val="21"/>
                <w:lang w:eastAsia="zh-CN"/>
              </w:rPr>
              <w:t>综合实力</w:t>
            </w:r>
          </w:p>
        </w:tc>
        <w:tc>
          <w:tcPr>
            <w:tcW w:w="611" w:type="dxa"/>
            <w:shd w:val="pct10" w:color="auto" w:fill="auto"/>
            <w:vAlign w:val="center"/>
          </w:tcPr>
          <w:p>
            <w:pPr>
              <w:ind w:left="-73" w:leftChars="-35" w:right="-80" w:rightChars="-38"/>
              <w:jc w:val="center"/>
              <w:rPr>
                <w:rFonts w:hint="eastAsia" w:asciiTheme="minorEastAsia" w:hAnsiTheme="minorEastAsia" w:eastAsiaTheme="minorEastAsia" w:cstheme="minorEastAsia"/>
                <w:b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5945" w:type="dxa"/>
            <w:shd w:val="pct10" w:color="auto" w:fill="auto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  <w:t>供应商所提供的响应产品生产厂家获得行政主管部门颁发的“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重合同守信用企业认证证书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  <w:t>”（有效期内）得2分。（须提供证书彩色影印件并加盖厂家公章为依据，不提供不得分。）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568" w:type="dxa"/>
            <w:shd w:val="pct10" w:color="auto" w:fill="auto"/>
            <w:vAlign w:val="center"/>
          </w:tcPr>
          <w:p>
            <w:pPr>
              <w:numPr>
                <w:ilvl w:val="0"/>
                <w:numId w:val="0"/>
              </w:numPr>
              <w:ind w:leftChars="0" w:right="-86" w:rightChars="-41"/>
              <w:jc w:val="left"/>
              <w:rPr>
                <w:rFonts w:hint="eastAsia" w:asciiTheme="minorEastAsia" w:hAnsiTheme="minorEastAsia" w:eastAsiaTheme="minorEastAsia" w:cstheme="minorEastAsia"/>
                <w:b/>
                <w:bCs w:val="0"/>
                <w:strike/>
                <w:dstrike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 w:val="0"/>
                <w:strike/>
                <w:dstrike w:val="0"/>
                <w:sz w:val="21"/>
                <w:szCs w:val="21"/>
                <w:lang w:val="en-US" w:eastAsia="zh-CN"/>
              </w:rPr>
              <w:t>11.</w:t>
            </w:r>
          </w:p>
        </w:tc>
        <w:tc>
          <w:tcPr>
            <w:tcW w:w="1257" w:type="dxa"/>
            <w:vMerge w:val="continue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 w:val="0"/>
                <w:strike/>
                <w:dstrike w:val="0"/>
                <w:sz w:val="21"/>
                <w:szCs w:val="21"/>
                <w:lang w:eastAsia="zh-CN"/>
              </w:rPr>
            </w:pPr>
          </w:p>
        </w:tc>
        <w:tc>
          <w:tcPr>
            <w:tcW w:w="611" w:type="dxa"/>
            <w:shd w:val="pct10" w:color="auto" w:fill="auto"/>
            <w:vAlign w:val="center"/>
          </w:tcPr>
          <w:p>
            <w:pPr>
              <w:ind w:left="-73" w:leftChars="-35" w:right="-80" w:rightChars="-38"/>
              <w:jc w:val="center"/>
              <w:rPr>
                <w:rFonts w:hint="eastAsia" w:asciiTheme="minorEastAsia" w:hAnsiTheme="minorEastAsia" w:eastAsiaTheme="minorEastAsia" w:cstheme="minorEastAsia"/>
                <w:b/>
                <w:bCs w:val="0"/>
                <w:strike/>
                <w:dstrike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 w:val="0"/>
                <w:strike/>
                <w:dstrike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5945" w:type="dxa"/>
            <w:shd w:val="pct10" w:color="auto" w:fill="auto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 w:val="0"/>
                <w:bCs/>
                <w:strike/>
                <w:dstrike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trike/>
                <w:dstrike w:val="0"/>
                <w:sz w:val="21"/>
                <w:szCs w:val="21"/>
                <w:lang w:val="en-US" w:eastAsia="zh-CN"/>
              </w:rPr>
              <w:t>供应商所提供的响应</w:t>
            </w:r>
            <w:r>
              <w:rPr>
                <w:rFonts w:hint="eastAsia" w:asciiTheme="minorEastAsia" w:hAnsiTheme="minorEastAsia" w:eastAsiaTheme="minorEastAsia" w:cstheme="minorEastAsia"/>
                <w:strike/>
                <w:dstrike w:val="0"/>
                <w:sz w:val="21"/>
                <w:szCs w:val="21"/>
              </w:rPr>
              <w:t>产品生产厂家获得</w:t>
            </w:r>
            <w:r>
              <w:rPr>
                <w:rFonts w:hint="eastAsia" w:asciiTheme="minorEastAsia" w:hAnsiTheme="minorEastAsia" w:eastAsiaTheme="minorEastAsia" w:cstheme="minorEastAsia"/>
                <w:strike/>
                <w:dstrike w:val="0"/>
                <w:sz w:val="21"/>
                <w:szCs w:val="21"/>
                <w:lang w:eastAsia="zh-CN"/>
              </w:rPr>
              <w:t>“</w:t>
            </w:r>
            <w:r>
              <w:rPr>
                <w:rFonts w:hint="eastAsia" w:asciiTheme="minorEastAsia" w:hAnsiTheme="minorEastAsia" w:eastAsiaTheme="minorEastAsia" w:cstheme="minorEastAsia"/>
                <w:strike/>
                <w:dstrike w:val="0"/>
                <w:sz w:val="21"/>
                <w:szCs w:val="21"/>
              </w:rPr>
              <w:t>中国绿色节能环保产品</w:t>
            </w:r>
            <w:r>
              <w:rPr>
                <w:rFonts w:hint="eastAsia" w:asciiTheme="minorEastAsia" w:hAnsiTheme="minorEastAsia" w:eastAsiaTheme="minorEastAsia" w:cstheme="minorEastAsia"/>
                <w:strike/>
                <w:dstrike w:val="0"/>
                <w:sz w:val="21"/>
                <w:szCs w:val="21"/>
                <w:lang w:eastAsia="zh-CN"/>
              </w:rPr>
              <w:t>”得</w:t>
            </w:r>
            <w:r>
              <w:rPr>
                <w:rFonts w:hint="eastAsia" w:asciiTheme="minorEastAsia" w:hAnsiTheme="minorEastAsia" w:eastAsiaTheme="minorEastAsia" w:cstheme="minorEastAsia"/>
                <w:strike/>
                <w:dstrike w:val="0"/>
                <w:sz w:val="21"/>
                <w:szCs w:val="21"/>
                <w:lang w:val="en-US" w:eastAsia="zh-CN"/>
              </w:rPr>
              <w:t>1分。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trike/>
                <w:dstrike w:val="0"/>
                <w:sz w:val="21"/>
                <w:szCs w:val="21"/>
                <w:lang w:val="en-US" w:eastAsia="zh-CN"/>
              </w:rPr>
              <w:t>（须提供证书彩色影印件并加盖厂家公章为依据，不提供不得分。）</w:t>
            </w:r>
            <w:r>
              <w:rPr>
                <w:rFonts w:hint="eastAsia" w:asciiTheme="minorEastAsia" w:hAnsiTheme="minorEastAsia" w:eastAsiaTheme="minorEastAsia" w:cstheme="minorEastAsia"/>
                <w:b/>
                <w:bCs w:val="0"/>
                <w:strike w:val="0"/>
                <w:dstrike w:val="0"/>
                <w:sz w:val="21"/>
                <w:szCs w:val="21"/>
                <w:lang w:val="en-US" w:eastAsia="zh-CN"/>
              </w:rPr>
              <w:t>【注：此项评分标准删除。】</w:t>
            </w:r>
          </w:p>
        </w:tc>
      </w:tr>
    </w:tbl>
    <w:p>
      <w:pPr>
        <w:numPr>
          <w:ilvl w:val="0"/>
          <w:numId w:val="0"/>
        </w:numPr>
        <w:spacing w:before="60" w:after="60" w:line="360" w:lineRule="exact"/>
        <w:ind w:leftChars="-13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eastAsia="zh-CN"/>
        </w:rPr>
        <w:t>”。</w:t>
      </w:r>
    </w:p>
    <w:p>
      <w:pPr>
        <w:numPr>
          <w:ilvl w:val="0"/>
          <w:numId w:val="0"/>
        </w:numPr>
        <w:spacing w:before="60" w:after="60" w:line="360" w:lineRule="exact"/>
        <w:ind w:leftChars="-13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  <w:t>2、将技术、服务评议中“</w:t>
      </w:r>
    </w:p>
    <w:tbl>
      <w:tblPr>
        <w:tblStyle w:val="2"/>
        <w:tblW w:w="494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1257"/>
        <w:gridCol w:w="611"/>
        <w:gridCol w:w="59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568" w:type="dxa"/>
            <w:shd w:val="pct10" w:color="auto" w:fill="auto"/>
            <w:vAlign w:val="center"/>
          </w:tcPr>
          <w:p>
            <w:pPr>
              <w:ind w:left="-78" w:leftChars="-37" w:right="-86" w:rightChars="-41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序号</w:t>
            </w:r>
          </w:p>
        </w:tc>
        <w:tc>
          <w:tcPr>
            <w:tcW w:w="1257" w:type="dxa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评审因素</w:t>
            </w:r>
          </w:p>
        </w:tc>
        <w:tc>
          <w:tcPr>
            <w:tcW w:w="611" w:type="dxa"/>
            <w:shd w:val="pct10" w:color="auto" w:fill="auto"/>
            <w:vAlign w:val="center"/>
          </w:tcPr>
          <w:p>
            <w:pPr>
              <w:ind w:left="-73" w:leftChars="-35" w:right="-80" w:rightChars="-38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分值</w:t>
            </w:r>
          </w:p>
        </w:tc>
        <w:tc>
          <w:tcPr>
            <w:tcW w:w="5984" w:type="dxa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评分标准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568" w:type="dxa"/>
            <w:shd w:val="pct10" w:color="auto" w:fill="auto"/>
            <w:vAlign w:val="center"/>
          </w:tcPr>
          <w:p>
            <w:pPr>
              <w:numPr>
                <w:ilvl w:val="0"/>
                <w:numId w:val="0"/>
              </w:numPr>
              <w:ind w:leftChars="0" w:right="-86" w:rightChars="-41"/>
              <w:jc w:val="left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14.</w:t>
            </w:r>
          </w:p>
        </w:tc>
        <w:tc>
          <w:tcPr>
            <w:tcW w:w="1257" w:type="dxa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  <w:t>服务方案</w:t>
            </w:r>
          </w:p>
        </w:tc>
        <w:tc>
          <w:tcPr>
            <w:tcW w:w="611" w:type="dxa"/>
            <w:shd w:val="pct10" w:color="auto" w:fill="auto"/>
            <w:vAlign w:val="center"/>
          </w:tcPr>
          <w:p>
            <w:pPr>
              <w:ind w:left="-73" w:leftChars="-35" w:right="-80" w:rightChars="-38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2.5</w:t>
            </w:r>
          </w:p>
        </w:tc>
        <w:tc>
          <w:tcPr>
            <w:tcW w:w="5984" w:type="dxa"/>
            <w:shd w:val="pct10" w:color="auto" w:fill="auto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eastAsia="zh-CN"/>
              </w:rPr>
              <w:t>供应商针对本项目提供科学、合理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的服务方案（售前，售中，售后，备品备件，技术等）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eastAsia="zh-CN"/>
              </w:rPr>
              <w:t>；方案科学、合理且内容全面得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/>
              </w:rPr>
              <w:t>2.5分。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568" w:type="dxa"/>
            <w:shd w:val="pct10" w:color="auto" w:fill="auto"/>
            <w:vAlign w:val="center"/>
          </w:tcPr>
          <w:p>
            <w:pPr>
              <w:numPr>
                <w:ilvl w:val="0"/>
                <w:numId w:val="0"/>
              </w:numPr>
              <w:ind w:leftChars="0" w:right="-86" w:rightChars="-41"/>
              <w:jc w:val="left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15.</w:t>
            </w:r>
          </w:p>
        </w:tc>
        <w:tc>
          <w:tcPr>
            <w:tcW w:w="1257" w:type="dxa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2"/>
                <w:sz w:val="21"/>
                <w:szCs w:val="21"/>
              </w:rPr>
              <w:t>生产设备</w:t>
            </w:r>
          </w:p>
        </w:tc>
        <w:tc>
          <w:tcPr>
            <w:tcW w:w="611" w:type="dxa"/>
            <w:shd w:val="pct10" w:color="auto" w:fill="auto"/>
            <w:vAlign w:val="center"/>
          </w:tcPr>
          <w:p>
            <w:pPr>
              <w:ind w:left="-73" w:leftChars="-35" w:right="-80" w:rightChars="-38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5984" w:type="dxa"/>
            <w:shd w:val="pct10" w:color="auto" w:fill="auto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  <w:t>供应商所提供的响应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产品生产厂家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购置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生产设备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木材加工机器全精密双滚涂布机、封边机、推台锯、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数控钻铣机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、通用设备三灯UV干燥机，木材加工机器粉尘清除机、木材加工机械补土机、木材加工机器底漆砂光机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，全部满足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分，每缺1项扣1分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。（须提供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购置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设备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发票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的彩色影印件为依据，不提供不得分。）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568" w:type="dxa"/>
            <w:shd w:val="pct10" w:color="auto" w:fill="auto"/>
            <w:vAlign w:val="center"/>
          </w:tcPr>
          <w:p>
            <w:pPr>
              <w:numPr>
                <w:ilvl w:val="0"/>
                <w:numId w:val="0"/>
              </w:numPr>
              <w:ind w:leftChars="0" w:right="-86" w:rightChars="-41"/>
              <w:jc w:val="left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16.</w:t>
            </w:r>
          </w:p>
        </w:tc>
        <w:tc>
          <w:tcPr>
            <w:tcW w:w="1257" w:type="dxa"/>
            <w:vMerge w:val="restart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2"/>
                <w:sz w:val="21"/>
                <w:szCs w:val="21"/>
              </w:rPr>
              <w:t>检验报告</w:t>
            </w:r>
          </w:p>
        </w:tc>
        <w:tc>
          <w:tcPr>
            <w:tcW w:w="611" w:type="dxa"/>
            <w:shd w:val="pct10" w:color="auto" w:fill="auto"/>
            <w:vAlign w:val="center"/>
          </w:tcPr>
          <w:p>
            <w:pPr>
              <w:ind w:left="-73" w:leftChars="-35" w:right="-80" w:rightChars="-38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5984" w:type="dxa"/>
            <w:shd w:val="pct10" w:color="auto" w:fill="auto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  <w:t>供应商所提供的响应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产品生产厂家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有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国家质量监督部门抽样检查合格的检验报告：1.班台 2.文件柜 3.会议台、4.条桌、5.沙发、6.会议椅  7.茶几、8.茶水柜、9.法官台、10. 床头柜、11.班椅，12、床，13、屏风卡座，14、实木框架，15、实木封边条，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全部满足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15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分，每缺1项扣1分。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（注：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1.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须提供本项目磋商公告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前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的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检验报告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，并加盖厂家公章；并提供原件备查；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.所提供的签发日期在发布招标公告之前，由国家级检测机构出具的检验报告原件为准。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.所提供的报告中须带有“CNAS”“CMA”“CAL认监认字”相关编号。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.并提供在认监委http://www.cnca.gov.cn/网络查询截图。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568" w:type="dxa"/>
            <w:shd w:val="pct10" w:color="auto" w:fill="auto"/>
            <w:vAlign w:val="center"/>
          </w:tcPr>
          <w:p>
            <w:pPr>
              <w:numPr>
                <w:ilvl w:val="0"/>
                <w:numId w:val="0"/>
              </w:numPr>
              <w:ind w:leftChars="0" w:right="-86" w:rightChars="-41"/>
              <w:jc w:val="left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17.</w:t>
            </w:r>
          </w:p>
        </w:tc>
        <w:tc>
          <w:tcPr>
            <w:tcW w:w="1257" w:type="dxa"/>
            <w:vMerge w:val="continue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</w:p>
        </w:tc>
        <w:tc>
          <w:tcPr>
            <w:tcW w:w="611" w:type="dxa"/>
            <w:shd w:val="pct10" w:color="auto" w:fill="auto"/>
            <w:vAlign w:val="center"/>
          </w:tcPr>
          <w:p>
            <w:pPr>
              <w:ind w:left="-73" w:leftChars="-35" w:right="-80" w:rightChars="-38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5984" w:type="dxa"/>
            <w:shd w:val="pct10" w:color="auto" w:fill="auto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  <w:t>供应商提供的响应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产品原材料国家质量监督部门抽样检查合格的检验报告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1.中纤板、2. 海绵、3.气压棒、4.底漆、5.绒布、6、实木块、7、封边条、8.导轨、9.白乳胶、10.皮革、11.铰链、12.锁具，13、拉手，14、面漆，15、三聚氰胺饰面刨花板，16、万向轮。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全部满足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8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分，每缺1项扣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0.5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分。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（注：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1.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须提供本项目磋商公告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前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的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检验报告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，并加盖厂家公章；并提供原件备查；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.所提供的签发日期在发布招标公告之前，由国家级检测机构出具的检验报告原件为准。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.所提供的报告中须带有“CNAS”“CMA”“CAL认监认字”相关编号。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.并提供在认监委http://www.cnca.gov.cn/网络查询截图。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568" w:type="dxa"/>
            <w:shd w:val="pct10" w:color="auto" w:fill="auto"/>
            <w:vAlign w:val="center"/>
          </w:tcPr>
          <w:p>
            <w:pPr>
              <w:numPr>
                <w:ilvl w:val="0"/>
                <w:numId w:val="0"/>
              </w:numPr>
              <w:ind w:leftChars="0" w:right="-86" w:rightChars="-41"/>
              <w:jc w:val="left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18.</w:t>
            </w:r>
          </w:p>
        </w:tc>
        <w:tc>
          <w:tcPr>
            <w:tcW w:w="1257" w:type="dxa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2"/>
                <w:sz w:val="21"/>
                <w:szCs w:val="21"/>
              </w:rPr>
              <w:t>产品品质</w:t>
            </w:r>
          </w:p>
        </w:tc>
        <w:tc>
          <w:tcPr>
            <w:tcW w:w="611" w:type="dxa"/>
            <w:shd w:val="pct10" w:color="auto" w:fill="auto"/>
            <w:vAlign w:val="center"/>
          </w:tcPr>
          <w:p>
            <w:pPr>
              <w:ind w:left="-73" w:leftChars="-35" w:right="-80" w:rightChars="-38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7.5</w:t>
            </w:r>
          </w:p>
        </w:tc>
        <w:tc>
          <w:tcPr>
            <w:tcW w:w="5984" w:type="dxa"/>
            <w:shd w:val="pct10" w:color="auto" w:fill="auto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  <w:t>供应商提供的响应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产品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厂家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获得CQTA品质验证证书，证书包含：班台、办公椅、文件柜、皮革沙发、法官台、会议台、公寓床、会议椅、课桌、条桌、办公桌、床、礼堂椅、钢制文件柜、屏风工作位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；全部满足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7.5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分，每缺1项扣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0.5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分。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  <w:t>（须提供证书彩色影印件并加盖厂家公章为依据，不提供不得分；提供原件备查。）</w:t>
            </w:r>
          </w:p>
        </w:tc>
      </w:tr>
    </w:tbl>
    <w:p>
      <w:pPr>
        <w:numPr>
          <w:ilvl w:val="0"/>
          <w:numId w:val="0"/>
        </w:numPr>
        <w:spacing w:before="60" w:after="60" w:line="360" w:lineRule="exact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  <w:t>”更正为“</w:t>
      </w:r>
    </w:p>
    <w:tbl>
      <w:tblPr>
        <w:tblStyle w:val="2"/>
        <w:tblW w:w="494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1257"/>
        <w:gridCol w:w="611"/>
        <w:gridCol w:w="59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568" w:type="dxa"/>
            <w:shd w:val="pct10" w:color="auto" w:fill="auto"/>
            <w:vAlign w:val="center"/>
          </w:tcPr>
          <w:p>
            <w:pPr>
              <w:ind w:left="-78" w:leftChars="-37" w:right="-86" w:rightChars="-41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序号</w:t>
            </w:r>
          </w:p>
        </w:tc>
        <w:tc>
          <w:tcPr>
            <w:tcW w:w="1257" w:type="dxa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评审因素</w:t>
            </w:r>
          </w:p>
        </w:tc>
        <w:tc>
          <w:tcPr>
            <w:tcW w:w="611" w:type="dxa"/>
            <w:shd w:val="pct10" w:color="auto" w:fill="auto"/>
            <w:vAlign w:val="center"/>
          </w:tcPr>
          <w:p>
            <w:pPr>
              <w:ind w:left="-73" w:leftChars="-35" w:right="-80" w:rightChars="-38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分值</w:t>
            </w:r>
          </w:p>
        </w:tc>
        <w:tc>
          <w:tcPr>
            <w:tcW w:w="5984" w:type="dxa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评分标准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568" w:type="dxa"/>
            <w:shd w:val="pct10" w:color="auto" w:fill="auto"/>
            <w:vAlign w:val="center"/>
          </w:tcPr>
          <w:p>
            <w:pPr>
              <w:numPr>
                <w:ilvl w:val="0"/>
                <w:numId w:val="0"/>
              </w:numPr>
              <w:ind w:leftChars="0" w:right="-86" w:rightChars="-41"/>
              <w:jc w:val="left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14.</w:t>
            </w:r>
          </w:p>
        </w:tc>
        <w:tc>
          <w:tcPr>
            <w:tcW w:w="1257" w:type="dxa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</w:rPr>
              <w:t>服务方案</w:t>
            </w:r>
          </w:p>
        </w:tc>
        <w:tc>
          <w:tcPr>
            <w:tcW w:w="611" w:type="dxa"/>
            <w:shd w:val="pct10" w:color="auto" w:fill="auto"/>
            <w:vAlign w:val="center"/>
          </w:tcPr>
          <w:p>
            <w:pPr>
              <w:ind w:left="-73" w:leftChars="-35" w:right="-80" w:rightChars="-38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5984" w:type="dxa"/>
            <w:shd w:val="pct10" w:color="auto" w:fill="auto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eastAsia="zh-CN"/>
              </w:rPr>
              <w:t>供应商针对本项目提供科学、合理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的服务方案（售前，售中，售后，备品备件，技术等）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eastAsia="zh-CN"/>
              </w:rPr>
              <w:t>；方案科学、合理且内容全面得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/>
              </w:rPr>
              <w:t>2分。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568" w:type="dxa"/>
            <w:shd w:val="pct10" w:color="auto" w:fill="auto"/>
            <w:vAlign w:val="center"/>
          </w:tcPr>
          <w:p>
            <w:pPr>
              <w:numPr>
                <w:ilvl w:val="0"/>
                <w:numId w:val="0"/>
              </w:numPr>
              <w:ind w:leftChars="0" w:right="-86" w:rightChars="-41"/>
              <w:jc w:val="left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15.</w:t>
            </w:r>
          </w:p>
        </w:tc>
        <w:tc>
          <w:tcPr>
            <w:tcW w:w="1257" w:type="dxa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2"/>
                <w:sz w:val="21"/>
                <w:szCs w:val="21"/>
              </w:rPr>
              <w:t>生产设备</w:t>
            </w:r>
          </w:p>
        </w:tc>
        <w:tc>
          <w:tcPr>
            <w:tcW w:w="611" w:type="dxa"/>
            <w:shd w:val="pct10" w:color="auto" w:fill="auto"/>
            <w:vAlign w:val="center"/>
          </w:tcPr>
          <w:p>
            <w:pPr>
              <w:ind w:left="-73" w:leftChars="-35" w:right="-80" w:rightChars="-38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5984" w:type="dxa"/>
            <w:shd w:val="pct10" w:color="auto" w:fill="auto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  <w:t>供应商所提供的响应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产品生产厂家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购置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生产设备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木材加工机器全精密双滚涂布机、封边机、推台锯、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数控钻铣机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、通用设备三灯UV干燥机，木材加工机器粉尘清除机、木材加工机械补土机、木材加工机器底漆砂光机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，全部满足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分，每缺1项扣1分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。（注：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1.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须提供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购置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设备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发票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的彩色影印件为依据，不提供不得分；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2.各供应商所提供的设备名称可不与磋商文件中设备名称完全一致，但其功能必须一致。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568" w:type="dxa"/>
            <w:shd w:val="pct10" w:color="auto" w:fill="auto"/>
            <w:vAlign w:val="center"/>
          </w:tcPr>
          <w:p>
            <w:pPr>
              <w:numPr>
                <w:ilvl w:val="0"/>
                <w:numId w:val="0"/>
              </w:numPr>
              <w:ind w:leftChars="0" w:right="-86" w:rightChars="-41"/>
              <w:jc w:val="left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16.</w:t>
            </w:r>
          </w:p>
        </w:tc>
        <w:tc>
          <w:tcPr>
            <w:tcW w:w="1257" w:type="dxa"/>
            <w:vMerge w:val="restart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2"/>
                <w:sz w:val="21"/>
                <w:szCs w:val="21"/>
              </w:rPr>
              <w:t>检验报告</w:t>
            </w:r>
          </w:p>
        </w:tc>
        <w:tc>
          <w:tcPr>
            <w:tcW w:w="611" w:type="dxa"/>
            <w:shd w:val="pct10" w:color="auto" w:fill="auto"/>
            <w:vAlign w:val="center"/>
          </w:tcPr>
          <w:p>
            <w:pPr>
              <w:ind w:left="-73" w:leftChars="-35" w:right="-80" w:rightChars="-38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18</w:t>
            </w:r>
          </w:p>
        </w:tc>
        <w:tc>
          <w:tcPr>
            <w:tcW w:w="5984" w:type="dxa"/>
            <w:shd w:val="pct10" w:color="auto" w:fill="auto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  <w:t>供应商所提供的响应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产品生产厂家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有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国家质量监督部门抽样检查合格的检验报告：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.文件柜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.会议台、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.条桌、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.沙发、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.会议椅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.茶几、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.茶水柜、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8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 床头柜、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.班椅，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、床，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11.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实木框架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。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实木封边条，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全部满足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18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分，每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负偏离一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项扣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1.5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分。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（注：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1.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须提供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检验报告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，并加盖厂家公章；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.所提供的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检测报告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签发日期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须在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发布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磋商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公告之前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.所提供的报告中须带有“CNAS”“CMA”“CAL认监认字”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2016年以来的检测报告需提供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国家认证认可监督管理委员会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http://www.cnca.gov.cn/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网站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查询截图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5.检测报告为2016年以前的，可提供检测报告原件替代“并提供在认监委http://www.cnca.gov.cn/网查询截图”。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568" w:type="dxa"/>
            <w:shd w:val="pct10" w:color="auto" w:fill="auto"/>
            <w:vAlign w:val="center"/>
          </w:tcPr>
          <w:p>
            <w:pPr>
              <w:numPr>
                <w:ilvl w:val="0"/>
                <w:numId w:val="0"/>
              </w:numPr>
              <w:ind w:leftChars="0" w:right="-86" w:rightChars="-41"/>
              <w:jc w:val="left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17.</w:t>
            </w:r>
          </w:p>
        </w:tc>
        <w:tc>
          <w:tcPr>
            <w:tcW w:w="1257" w:type="dxa"/>
            <w:vMerge w:val="continue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</w:p>
        </w:tc>
        <w:tc>
          <w:tcPr>
            <w:tcW w:w="611" w:type="dxa"/>
            <w:shd w:val="pct10" w:color="auto" w:fill="auto"/>
            <w:vAlign w:val="center"/>
          </w:tcPr>
          <w:p>
            <w:pPr>
              <w:ind w:left="-73" w:leftChars="-35" w:right="-80" w:rightChars="-38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5984" w:type="dxa"/>
            <w:shd w:val="pct10" w:color="auto" w:fill="auto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  <w:t>供应商提供的响应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产品原材料国家质量监督部门抽样检查合格的检验报告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1.中纤板、2. 海绵、3.气压棒、4.底漆、5.绒布、6、实木块、7、封边条、8.导轨、9.白乳胶、10.皮革、11.铰链、12.锁具，13、拉手，14、面漆，15、三聚氰胺饰面刨花板，16、万向轮。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全部满足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8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分，每缺1项扣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0.5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分。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（注：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1.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须提供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检验报告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，并加盖厂家公章；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.所提供的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检测报告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签发日期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须在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发布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磋商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公告之前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.所提供的报告中须带有“CNAS”“CMA”“CAL认监认字”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.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2016年以来的检测报告需提供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国家认证认可监督管理委员会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http://www.cnca.gov.cn/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网站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查询截图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5.检测报告为2016年以前的，可提供检测报告原件替代“并提供在认监委http://www.cnca.gov.cn/网查询截图”。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568" w:type="dxa"/>
            <w:shd w:val="pct10" w:color="auto" w:fill="auto"/>
            <w:vAlign w:val="center"/>
          </w:tcPr>
          <w:p>
            <w:pPr>
              <w:numPr>
                <w:ilvl w:val="0"/>
                <w:numId w:val="0"/>
              </w:numPr>
              <w:ind w:leftChars="0" w:right="-86" w:rightChars="-41"/>
              <w:jc w:val="left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18.</w:t>
            </w:r>
          </w:p>
        </w:tc>
        <w:tc>
          <w:tcPr>
            <w:tcW w:w="1257" w:type="dxa"/>
            <w:shd w:val="pct10" w:color="auto" w:fill="auto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2"/>
                <w:sz w:val="21"/>
                <w:szCs w:val="21"/>
              </w:rPr>
              <w:t>产品品质</w:t>
            </w:r>
          </w:p>
        </w:tc>
        <w:tc>
          <w:tcPr>
            <w:tcW w:w="611" w:type="dxa"/>
            <w:shd w:val="pct10" w:color="auto" w:fill="auto"/>
            <w:vAlign w:val="center"/>
          </w:tcPr>
          <w:p>
            <w:pPr>
              <w:ind w:left="-73" w:leftChars="-35" w:right="-80" w:rightChars="-38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5984" w:type="dxa"/>
            <w:shd w:val="pct10" w:color="auto" w:fill="auto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  <w:t>供应商提供的响应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产品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厂家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获得CQTA品质验证证书，证书包含：、办公椅、文件柜、皮革沙发、会议台、公寓床、会议椅、条桌、办公桌、床、钢制文件柜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；全部满足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得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分，每缺1项扣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0.5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分。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21"/>
                <w:szCs w:val="21"/>
                <w:lang w:val="en-US" w:eastAsia="zh-CN"/>
              </w:rPr>
              <w:t>（须提供证书彩色影印件并加盖厂家公章为依据，不提供不得分；提供原件备查。）</w:t>
            </w:r>
          </w:p>
        </w:tc>
      </w:tr>
    </w:tbl>
    <w:p>
      <w:pPr>
        <w:numPr>
          <w:ilvl w:val="0"/>
          <w:numId w:val="0"/>
        </w:numPr>
        <w:spacing w:before="60" w:after="60" w:line="360" w:lineRule="exact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  <w:t>”其他内容不变。</w:t>
      </w:r>
    </w:p>
    <w:p>
      <w:pPr>
        <w:adjustRightInd w:val="0"/>
        <w:snapToGrid w:val="0"/>
        <w:spacing w:line="360" w:lineRule="auto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</w:p>
    <w:p>
      <w:pPr>
        <w:adjustRightInd w:val="0"/>
        <w:snapToGrid w:val="0"/>
        <w:spacing w:line="360" w:lineRule="auto"/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p>
      <w:pPr>
        <w:adjustRightInd w:val="0"/>
        <w:snapToGrid w:val="0"/>
        <w:spacing w:line="360" w:lineRule="auto"/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p>
      <w:pPr>
        <w:adjustRightInd w:val="0"/>
        <w:snapToGrid w:val="0"/>
        <w:spacing w:line="360" w:lineRule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 xml:space="preserve">                      </w:t>
      </w:r>
    </w:p>
    <w:p>
      <w:pPr>
        <w:ind w:firstLine="4480" w:firstLineChars="1600"/>
      </w:pP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sz w:val="28"/>
          <w:szCs w:val="28"/>
        </w:rPr>
        <w:t xml:space="preserve">日期： 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2020年9月23日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8B0BC2"/>
    <w:rsid w:val="408B0BC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2020-09-23T02:21:00Z</dcterms:created>
  <dc:creator>Administrator</dc:creator>
  <cp:lastModifiedBy>Administrator</cp:lastModifiedBy>
  <dcterms:modified xsi:type="dcterms:W3CDTF">2020-09-23T02:22:53Z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