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2"/>
        <w:gridCol w:w="6908"/>
      </w:tblGrid>
      <w:tr w:rsidR="00080C23" w:rsidRPr="001A3CF9" w:rsidTr="00307DDF">
        <w:trPr>
          <w:trHeight w:val="448"/>
        </w:trPr>
        <w:tc>
          <w:tcPr>
            <w:tcW w:w="1985" w:type="dxa"/>
            <w:vAlign w:val="center"/>
          </w:tcPr>
          <w:p w:rsidR="00080C23" w:rsidRPr="001A3CF9" w:rsidRDefault="00080C23" w:rsidP="00307DDF">
            <w:pPr>
              <w:jc w:val="center"/>
              <w:rPr>
                <w:rFonts w:ascii="楷体_GB2312" w:eastAsia="楷体_GB2312" w:hint="eastAsia"/>
                <w:sz w:val="24"/>
              </w:rPr>
            </w:pPr>
            <w:r w:rsidRPr="001A3CF9">
              <w:rPr>
                <w:rFonts w:ascii="楷体_GB2312" w:eastAsia="楷体_GB2312" w:hint="eastAsia"/>
                <w:sz w:val="24"/>
              </w:rPr>
              <w:t>权力编码</w:t>
            </w:r>
          </w:p>
        </w:tc>
        <w:tc>
          <w:tcPr>
            <w:tcW w:w="7201" w:type="dxa"/>
            <w:vAlign w:val="center"/>
          </w:tcPr>
          <w:p w:rsidR="00080C23" w:rsidRPr="001A3CF9" w:rsidRDefault="00080C23" w:rsidP="00307DDF">
            <w:pPr>
              <w:jc w:val="center"/>
              <w:rPr>
                <w:rFonts w:ascii="仿宋_GB2312" w:eastAsia="仿宋_GB2312" w:hint="eastAsia"/>
                <w:sz w:val="24"/>
              </w:rPr>
            </w:pPr>
            <w:r>
              <w:rPr>
                <w:rFonts w:ascii="仿宋_GB2312" w:eastAsia="仿宋_GB2312" w:hint="eastAsia"/>
                <w:sz w:val="24"/>
              </w:rPr>
              <w:t>5</w:t>
            </w:r>
          </w:p>
        </w:tc>
      </w:tr>
      <w:tr w:rsidR="00080C23" w:rsidRPr="001A3CF9" w:rsidTr="00307DDF">
        <w:trPr>
          <w:trHeight w:val="467"/>
        </w:trPr>
        <w:tc>
          <w:tcPr>
            <w:tcW w:w="1985" w:type="dxa"/>
            <w:vAlign w:val="center"/>
          </w:tcPr>
          <w:p w:rsidR="00080C23" w:rsidRPr="001A3CF9" w:rsidRDefault="00080C23" w:rsidP="00307DDF">
            <w:pPr>
              <w:jc w:val="center"/>
              <w:rPr>
                <w:rFonts w:ascii="楷体_GB2312" w:eastAsia="楷体_GB2312" w:hint="eastAsia"/>
                <w:sz w:val="24"/>
              </w:rPr>
            </w:pPr>
            <w:r w:rsidRPr="001A3CF9">
              <w:rPr>
                <w:rFonts w:ascii="楷体_GB2312" w:eastAsia="楷体_GB2312" w:hint="eastAsia"/>
                <w:sz w:val="24"/>
              </w:rPr>
              <w:t>权力名称</w:t>
            </w:r>
          </w:p>
        </w:tc>
        <w:tc>
          <w:tcPr>
            <w:tcW w:w="7201" w:type="dxa"/>
            <w:vAlign w:val="center"/>
          </w:tcPr>
          <w:p w:rsidR="00080C23" w:rsidRPr="001A3CF9" w:rsidRDefault="00080C23" w:rsidP="00307DDF">
            <w:pPr>
              <w:spacing w:line="360" w:lineRule="exact"/>
              <w:jc w:val="center"/>
              <w:rPr>
                <w:rFonts w:ascii="仿宋_GB2312" w:eastAsia="仿宋_GB2312" w:hint="eastAsia"/>
                <w:sz w:val="24"/>
              </w:rPr>
            </w:pPr>
            <w:r w:rsidRPr="001A3CF9">
              <w:rPr>
                <w:rFonts w:ascii="仿宋_GB2312" w:eastAsia="仿宋_GB2312" w:hint="eastAsia"/>
                <w:sz w:val="24"/>
              </w:rPr>
              <w:t>典当行特种行业许可</w:t>
            </w:r>
          </w:p>
        </w:tc>
      </w:tr>
      <w:tr w:rsidR="00080C23" w:rsidRPr="007646B7" w:rsidTr="00307DDF">
        <w:trPr>
          <w:trHeight w:val="615"/>
        </w:trPr>
        <w:tc>
          <w:tcPr>
            <w:tcW w:w="1985" w:type="dxa"/>
            <w:vAlign w:val="center"/>
          </w:tcPr>
          <w:p w:rsidR="00080C23" w:rsidRPr="001A3CF9" w:rsidRDefault="00080C23" w:rsidP="00307DDF">
            <w:pPr>
              <w:jc w:val="center"/>
              <w:rPr>
                <w:rFonts w:ascii="楷体_GB2312" w:eastAsia="楷体_GB2312" w:hint="eastAsia"/>
                <w:sz w:val="24"/>
              </w:rPr>
            </w:pPr>
            <w:r w:rsidRPr="001A3CF9">
              <w:rPr>
                <w:rFonts w:ascii="楷体_GB2312" w:eastAsia="楷体_GB2312" w:hint="eastAsia"/>
                <w:sz w:val="24"/>
              </w:rPr>
              <w:t>实施主体</w:t>
            </w:r>
          </w:p>
        </w:tc>
        <w:tc>
          <w:tcPr>
            <w:tcW w:w="7201" w:type="dxa"/>
            <w:vAlign w:val="center"/>
          </w:tcPr>
          <w:p w:rsidR="00080C23" w:rsidRDefault="00080C23" w:rsidP="00080C23">
            <w:pPr>
              <w:numPr>
                <w:ilvl w:val="0"/>
                <w:numId w:val="1"/>
              </w:numPr>
              <w:spacing w:line="360" w:lineRule="exact"/>
              <w:jc w:val="center"/>
              <w:rPr>
                <w:rFonts w:ascii="仿宋_GB2312" w:eastAsia="仿宋_GB2312" w:hint="eastAsia"/>
                <w:sz w:val="24"/>
              </w:rPr>
            </w:pPr>
            <w:r>
              <w:rPr>
                <w:rFonts w:ascii="仿宋_GB2312" w:eastAsia="仿宋_GB2312" w:hint="eastAsia"/>
                <w:sz w:val="24"/>
              </w:rPr>
              <w:t>随州</w:t>
            </w:r>
            <w:r w:rsidRPr="007646B7">
              <w:rPr>
                <w:rFonts w:ascii="仿宋_GB2312" w:eastAsia="仿宋_GB2312" w:hint="eastAsia"/>
                <w:sz w:val="24"/>
              </w:rPr>
              <w:t>市公安局</w:t>
            </w:r>
            <w:r>
              <w:rPr>
                <w:rFonts w:ascii="仿宋_GB2312" w:eastAsia="仿宋_GB2312" w:hint="eastAsia"/>
                <w:sz w:val="24"/>
              </w:rPr>
              <w:t>（法定）</w:t>
            </w:r>
          </w:p>
          <w:p w:rsidR="00080C23" w:rsidRPr="007646B7" w:rsidRDefault="00080C23" w:rsidP="00307DDF">
            <w:pPr>
              <w:spacing w:line="360" w:lineRule="exact"/>
              <w:jc w:val="center"/>
              <w:rPr>
                <w:rFonts w:ascii="仿宋_GB2312" w:eastAsia="仿宋_GB2312" w:hint="eastAsia"/>
                <w:sz w:val="24"/>
              </w:rPr>
            </w:pPr>
            <w:r>
              <w:rPr>
                <w:rFonts w:ascii="仿宋_GB2312" w:eastAsia="仿宋_GB2312" w:hint="eastAsia"/>
                <w:sz w:val="24"/>
              </w:rPr>
              <w:t xml:space="preserve">        2、随州市公安局治安支队（委托）</w:t>
            </w:r>
          </w:p>
        </w:tc>
      </w:tr>
      <w:tr w:rsidR="00080C23" w:rsidRPr="001A3CF9" w:rsidTr="00307DDF">
        <w:tc>
          <w:tcPr>
            <w:tcW w:w="1985" w:type="dxa"/>
            <w:vAlign w:val="center"/>
          </w:tcPr>
          <w:p w:rsidR="00080C23" w:rsidRPr="001A3CF9" w:rsidRDefault="00080C23" w:rsidP="00307DDF">
            <w:pPr>
              <w:jc w:val="center"/>
              <w:rPr>
                <w:rFonts w:ascii="楷体_GB2312" w:eastAsia="楷体_GB2312" w:hint="eastAsia"/>
                <w:sz w:val="24"/>
              </w:rPr>
            </w:pPr>
            <w:r w:rsidRPr="001A3CF9">
              <w:rPr>
                <w:rFonts w:ascii="楷体_GB2312" w:eastAsia="楷体_GB2312" w:hint="eastAsia"/>
                <w:sz w:val="24"/>
              </w:rPr>
              <w:t>权力依据</w:t>
            </w:r>
          </w:p>
        </w:tc>
        <w:tc>
          <w:tcPr>
            <w:tcW w:w="7201" w:type="dxa"/>
            <w:vAlign w:val="center"/>
          </w:tcPr>
          <w:p w:rsidR="00080C23" w:rsidRPr="001A3CF9" w:rsidRDefault="00080C23" w:rsidP="00307DDF">
            <w:pPr>
              <w:widowControl/>
              <w:spacing w:line="300" w:lineRule="atLeast"/>
              <w:ind w:firstLineChars="200" w:firstLine="480"/>
              <w:jc w:val="left"/>
              <w:rPr>
                <w:rFonts w:ascii="仿宋_GB2312" w:eastAsia="仿宋_GB2312" w:hAnsi="Arial" w:cs="Arial" w:hint="eastAsia"/>
                <w:kern w:val="0"/>
                <w:sz w:val="24"/>
              </w:rPr>
            </w:pPr>
            <w:r w:rsidRPr="00B24FB3">
              <w:rPr>
                <w:rFonts w:ascii="仿宋_GB2312" w:eastAsia="仿宋_GB2312" w:hAnsi="Arial" w:cs="Arial" w:hint="eastAsia"/>
                <w:b/>
                <w:bCs/>
                <w:kern w:val="0"/>
                <w:sz w:val="24"/>
              </w:rPr>
              <w:t>《典当管理办法》</w:t>
            </w:r>
            <w:r w:rsidRPr="001A3CF9">
              <w:rPr>
                <w:rFonts w:ascii="仿宋_GB2312" w:eastAsia="仿宋_GB2312" w:hAnsi="Arial" w:cs="Arial" w:hint="eastAsia"/>
                <w:kern w:val="0"/>
                <w:sz w:val="24"/>
              </w:rPr>
              <w:t>第四条：商务主管部门对典当业实施监督管理，公安机关对典当业进行治安管理。</w:t>
            </w:r>
          </w:p>
          <w:p w:rsidR="00080C23" w:rsidRPr="001A3CF9" w:rsidRDefault="00080C23" w:rsidP="00307DDF">
            <w:pPr>
              <w:widowControl/>
              <w:spacing w:line="300" w:lineRule="atLeast"/>
              <w:jc w:val="left"/>
              <w:rPr>
                <w:rFonts w:ascii="仿宋_GB2312" w:eastAsia="仿宋_GB2312" w:hAnsi="Arial" w:cs="Arial" w:hint="eastAsia"/>
                <w:kern w:val="0"/>
                <w:sz w:val="24"/>
              </w:rPr>
            </w:pPr>
            <w:r w:rsidRPr="001A3CF9">
              <w:rPr>
                <w:rFonts w:ascii="仿宋_GB2312" w:eastAsia="仿宋_GB2312" w:hAnsi="Arial" w:cs="Arial" w:hint="eastAsia"/>
                <w:kern w:val="0"/>
                <w:sz w:val="24"/>
              </w:rPr>
              <w:t>第十六条：申请人领取《典当经营许可证》后，应当在10日内向所在地县级人民政府公安机关申请典当行《特种行业许可证》。</w:t>
            </w:r>
          </w:p>
          <w:p w:rsidR="00080C23" w:rsidRPr="001A3CF9" w:rsidRDefault="00080C23" w:rsidP="00307DDF">
            <w:pPr>
              <w:widowControl/>
              <w:spacing w:line="300" w:lineRule="atLeast"/>
              <w:ind w:firstLineChars="200" w:firstLine="480"/>
              <w:jc w:val="left"/>
              <w:rPr>
                <w:rFonts w:ascii="仿宋_GB2312" w:eastAsia="仿宋_GB2312" w:hAnsi="Arial Narrow" w:cs="Arial" w:hint="eastAsia"/>
                <w:kern w:val="0"/>
                <w:sz w:val="24"/>
              </w:rPr>
            </w:pPr>
            <w:r w:rsidRPr="001A3CF9">
              <w:rPr>
                <w:rFonts w:ascii="仿宋_GB2312" w:eastAsia="仿宋_GB2312" w:hAnsi="Arial" w:cs="Arial" w:hint="eastAsia"/>
                <w:kern w:val="0"/>
                <w:sz w:val="24"/>
              </w:rPr>
              <w:t>第十七条：所在地县级人民政府公安机关受理后应当在10日内将申请材料及初步审核结果报设区的市（地）级人民政府公安机关审核批准，设区的市（地）级人民政府公安机关应当在10日内审核批准完毕。经批准的，颁发《特种行业许可证》。</w:t>
            </w:r>
          </w:p>
          <w:p w:rsidR="00080C23" w:rsidRPr="001A3CF9" w:rsidRDefault="00080C23" w:rsidP="00307DDF">
            <w:pPr>
              <w:spacing w:line="320" w:lineRule="exact"/>
              <w:rPr>
                <w:rFonts w:ascii="仿宋_GB2312" w:eastAsia="仿宋_GB2312" w:hint="eastAsia"/>
                <w:sz w:val="24"/>
              </w:rPr>
            </w:pPr>
            <w:r w:rsidRPr="001A3CF9">
              <w:rPr>
                <w:rFonts w:ascii="仿宋_GB2312" w:eastAsia="仿宋_GB2312" w:hAnsi="Arial" w:cs="Arial" w:hint="eastAsia"/>
                <w:kern w:val="0"/>
                <w:sz w:val="24"/>
              </w:rPr>
              <w:t>设区的市（地）级人民政府公安机关直接受理的申请，应当在20日内审核批准完毕。经批准的，颁发《特种行业许可证》。</w:t>
            </w:r>
          </w:p>
        </w:tc>
      </w:tr>
      <w:tr w:rsidR="00080C23" w:rsidRPr="003D3E43" w:rsidTr="00307DDF">
        <w:tc>
          <w:tcPr>
            <w:tcW w:w="1985" w:type="dxa"/>
            <w:vAlign w:val="center"/>
          </w:tcPr>
          <w:p w:rsidR="00080C23" w:rsidRPr="001A3CF9" w:rsidRDefault="00080C23" w:rsidP="00307DDF">
            <w:pPr>
              <w:jc w:val="center"/>
              <w:rPr>
                <w:rFonts w:ascii="楷体_GB2312" w:eastAsia="楷体_GB2312" w:hint="eastAsia"/>
                <w:sz w:val="24"/>
              </w:rPr>
            </w:pPr>
            <w:r w:rsidRPr="001A3CF9">
              <w:rPr>
                <w:rFonts w:ascii="楷体_GB2312" w:eastAsia="楷体_GB2312" w:hint="eastAsia"/>
                <w:sz w:val="24"/>
              </w:rPr>
              <w:t>三定方案</w:t>
            </w:r>
          </w:p>
        </w:tc>
        <w:tc>
          <w:tcPr>
            <w:tcW w:w="7201" w:type="dxa"/>
            <w:vAlign w:val="center"/>
          </w:tcPr>
          <w:p w:rsidR="00080C23" w:rsidRPr="003D3E43" w:rsidRDefault="00080C23" w:rsidP="00307DDF">
            <w:pPr>
              <w:ind w:firstLineChars="200" w:firstLine="480"/>
              <w:rPr>
                <w:rFonts w:ascii="仿宋_GB2312" w:eastAsia="仿宋_GB2312" w:hint="eastAsia"/>
                <w:sz w:val="24"/>
              </w:rPr>
            </w:pPr>
            <w:r>
              <w:rPr>
                <w:rFonts w:ascii="仿宋_GB2312" w:eastAsia="仿宋_GB2312" w:hint="eastAsia"/>
                <w:sz w:val="24"/>
              </w:rPr>
              <w:t>随政办发〔2010〕60号</w:t>
            </w:r>
          </w:p>
        </w:tc>
      </w:tr>
      <w:tr w:rsidR="00080C23" w:rsidRPr="001A3CF9" w:rsidTr="00307DDF">
        <w:tc>
          <w:tcPr>
            <w:tcW w:w="1985" w:type="dxa"/>
            <w:vAlign w:val="center"/>
          </w:tcPr>
          <w:p w:rsidR="00080C23" w:rsidRPr="001A3CF9" w:rsidRDefault="00080C23" w:rsidP="00307DDF">
            <w:pPr>
              <w:jc w:val="center"/>
              <w:rPr>
                <w:rFonts w:ascii="楷体_GB2312" w:eastAsia="楷体_GB2312" w:hint="eastAsia"/>
                <w:sz w:val="24"/>
              </w:rPr>
            </w:pPr>
            <w:r w:rsidRPr="001A3CF9">
              <w:rPr>
                <w:rFonts w:ascii="楷体_GB2312" w:eastAsia="楷体_GB2312" w:hint="eastAsia"/>
                <w:sz w:val="24"/>
              </w:rPr>
              <w:t>收费依据及标准</w:t>
            </w:r>
          </w:p>
        </w:tc>
        <w:tc>
          <w:tcPr>
            <w:tcW w:w="7201" w:type="dxa"/>
            <w:vAlign w:val="center"/>
          </w:tcPr>
          <w:p w:rsidR="00080C23" w:rsidRPr="001A3CF9" w:rsidRDefault="00080C23" w:rsidP="00307DDF">
            <w:pPr>
              <w:spacing w:line="360" w:lineRule="exact"/>
              <w:jc w:val="center"/>
              <w:rPr>
                <w:rFonts w:ascii="仿宋_GB2312" w:eastAsia="仿宋_GB2312" w:hint="eastAsia"/>
                <w:sz w:val="24"/>
              </w:rPr>
            </w:pPr>
            <w:r w:rsidRPr="001A3CF9">
              <w:rPr>
                <w:rFonts w:ascii="仿宋_GB2312" w:eastAsia="仿宋_GB2312" w:hint="eastAsia"/>
                <w:sz w:val="24"/>
              </w:rPr>
              <w:t>不收费</w:t>
            </w:r>
          </w:p>
        </w:tc>
      </w:tr>
      <w:tr w:rsidR="00080C23" w:rsidRPr="001852D1" w:rsidTr="00307DDF">
        <w:tc>
          <w:tcPr>
            <w:tcW w:w="1985" w:type="dxa"/>
            <w:vAlign w:val="center"/>
          </w:tcPr>
          <w:p w:rsidR="00080C23" w:rsidRPr="001A3CF9" w:rsidRDefault="00080C23" w:rsidP="00307DDF">
            <w:pPr>
              <w:jc w:val="center"/>
              <w:rPr>
                <w:rFonts w:ascii="楷体_GB2312" w:eastAsia="楷体_GB2312" w:hint="eastAsia"/>
                <w:sz w:val="24"/>
              </w:rPr>
            </w:pPr>
            <w:r w:rsidRPr="001A3CF9">
              <w:rPr>
                <w:rFonts w:ascii="楷体_GB2312" w:eastAsia="楷体_GB2312" w:hint="eastAsia"/>
                <w:sz w:val="24"/>
              </w:rPr>
              <w:t>许可条件</w:t>
            </w:r>
          </w:p>
        </w:tc>
        <w:tc>
          <w:tcPr>
            <w:tcW w:w="7201" w:type="dxa"/>
            <w:vAlign w:val="center"/>
          </w:tcPr>
          <w:p w:rsidR="00080C23" w:rsidRPr="001852D1" w:rsidRDefault="00080C23" w:rsidP="00307DDF">
            <w:pPr>
              <w:widowControl/>
              <w:spacing w:line="340" w:lineRule="exact"/>
              <w:ind w:firstLineChars="150" w:firstLine="360"/>
              <w:rPr>
                <w:rFonts w:ascii="仿宋_GB2312" w:eastAsia="仿宋_GB2312" w:hAnsi="Arial Narrow" w:cs="Arial" w:hint="eastAsia"/>
                <w:kern w:val="0"/>
                <w:sz w:val="24"/>
              </w:rPr>
            </w:pPr>
            <w:r w:rsidRPr="001A3CF9">
              <w:rPr>
                <w:rFonts w:ascii="仿宋_GB2312" w:eastAsia="仿宋_GB2312" w:hAnsi="Arial" w:cs="Arial" w:hint="eastAsia"/>
                <w:kern w:val="0"/>
                <w:sz w:val="24"/>
              </w:rPr>
              <w:t>（一）有符合法律、法规规定的章程；（二）有符合本办法规定的最低限额的注册资本；（三）有符合要求的营业场所和办理业务必需的设施；（四）有熟悉典当业务的经营管理人员及鉴定评估人员；</w:t>
            </w:r>
            <w:r>
              <w:rPr>
                <w:rFonts w:ascii="仿宋_GB2312" w:eastAsia="仿宋_GB2312" w:hAnsi="Arial" w:cs="Arial" w:hint="eastAsia"/>
                <w:kern w:val="0"/>
                <w:sz w:val="24"/>
              </w:rPr>
              <w:t>（五）有两个以上法人股东，且法人股相对控股</w:t>
            </w:r>
            <w:r w:rsidRPr="001A3CF9">
              <w:rPr>
                <w:rFonts w:ascii="仿宋_GB2312" w:eastAsia="仿宋_GB2312" w:hAnsi="Arial" w:cs="Arial" w:hint="eastAsia"/>
                <w:kern w:val="0"/>
                <w:sz w:val="24"/>
              </w:rPr>
              <w:t>；（六）符合本办法第九条和第十条规定的治安管理要求；（七）符合国家对典当行统筹规划、合理布局的要求。</w:t>
            </w:r>
          </w:p>
        </w:tc>
      </w:tr>
      <w:tr w:rsidR="00080C23" w:rsidRPr="001A3CF9" w:rsidTr="00307DDF">
        <w:tc>
          <w:tcPr>
            <w:tcW w:w="1985" w:type="dxa"/>
            <w:vAlign w:val="center"/>
          </w:tcPr>
          <w:p w:rsidR="00080C23" w:rsidRPr="001A3CF9" w:rsidRDefault="00080C23" w:rsidP="00307DDF">
            <w:pPr>
              <w:jc w:val="center"/>
              <w:rPr>
                <w:rFonts w:ascii="楷体_GB2312" w:eastAsia="楷体_GB2312" w:hint="eastAsia"/>
                <w:sz w:val="24"/>
              </w:rPr>
            </w:pPr>
            <w:r w:rsidRPr="001A3CF9">
              <w:rPr>
                <w:rFonts w:ascii="楷体_GB2312" w:eastAsia="楷体_GB2312" w:hint="eastAsia"/>
                <w:sz w:val="24"/>
              </w:rPr>
              <w:t>许可期限</w:t>
            </w:r>
          </w:p>
        </w:tc>
        <w:tc>
          <w:tcPr>
            <w:tcW w:w="7201" w:type="dxa"/>
            <w:vAlign w:val="center"/>
          </w:tcPr>
          <w:p w:rsidR="00080C23" w:rsidRPr="001A3CF9" w:rsidRDefault="00080C23" w:rsidP="00307DDF">
            <w:pPr>
              <w:jc w:val="center"/>
              <w:rPr>
                <w:rFonts w:ascii="仿宋_GB2312" w:eastAsia="仿宋_GB2312" w:hint="eastAsia"/>
                <w:sz w:val="24"/>
              </w:rPr>
            </w:pPr>
            <w:r w:rsidRPr="001A3CF9">
              <w:rPr>
                <w:rFonts w:ascii="仿宋_GB2312" w:eastAsia="仿宋_GB2312" w:hint="eastAsia"/>
                <w:sz w:val="24"/>
              </w:rPr>
              <w:t>法定期限：20天</w:t>
            </w:r>
          </w:p>
          <w:p w:rsidR="00080C23" w:rsidRPr="001A3CF9" w:rsidRDefault="00080C23" w:rsidP="00307DDF">
            <w:pPr>
              <w:jc w:val="center"/>
              <w:rPr>
                <w:rFonts w:ascii="仿宋_GB2312" w:eastAsia="仿宋_GB2312" w:hint="eastAsia"/>
                <w:sz w:val="24"/>
              </w:rPr>
            </w:pPr>
            <w:r w:rsidRPr="001A3CF9">
              <w:rPr>
                <w:rFonts w:ascii="仿宋_GB2312" w:eastAsia="仿宋_GB2312" w:hint="eastAsia"/>
                <w:sz w:val="24"/>
              </w:rPr>
              <w:t>承诺期限：20天</w:t>
            </w:r>
          </w:p>
        </w:tc>
      </w:tr>
      <w:tr w:rsidR="00080C23" w:rsidRPr="001852D1" w:rsidTr="00307DDF">
        <w:tc>
          <w:tcPr>
            <w:tcW w:w="1985" w:type="dxa"/>
            <w:vAlign w:val="center"/>
          </w:tcPr>
          <w:p w:rsidR="00080C23" w:rsidRPr="001A3CF9" w:rsidRDefault="00080C23" w:rsidP="00307DDF">
            <w:pPr>
              <w:jc w:val="center"/>
              <w:rPr>
                <w:rFonts w:ascii="楷体_GB2312" w:eastAsia="楷体_GB2312" w:hint="eastAsia"/>
                <w:sz w:val="24"/>
              </w:rPr>
            </w:pPr>
            <w:r w:rsidRPr="001A3CF9">
              <w:rPr>
                <w:rFonts w:ascii="楷体_GB2312" w:eastAsia="楷体_GB2312" w:hint="eastAsia"/>
                <w:sz w:val="24"/>
              </w:rPr>
              <w:t>需提交的材料</w:t>
            </w:r>
          </w:p>
        </w:tc>
        <w:tc>
          <w:tcPr>
            <w:tcW w:w="7201" w:type="dxa"/>
            <w:vAlign w:val="center"/>
          </w:tcPr>
          <w:p w:rsidR="00080C23" w:rsidRPr="001852D1" w:rsidRDefault="00080C23" w:rsidP="00307DDF">
            <w:pPr>
              <w:widowControl/>
              <w:spacing w:line="340" w:lineRule="exact"/>
              <w:ind w:firstLine="555"/>
              <w:jc w:val="left"/>
              <w:rPr>
                <w:rFonts w:ascii="仿宋_GB2312" w:eastAsia="仿宋_GB2312" w:hAnsi="Arial Narrow" w:cs="Arial" w:hint="eastAsia"/>
                <w:kern w:val="0"/>
                <w:sz w:val="24"/>
              </w:rPr>
            </w:pPr>
            <w:r w:rsidRPr="001A3CF9">
              <w:rPr>
                <w:rFonts w:ascii="仿宋_GB2312" w:eastAsia="仿宋_GB2312" w:hAnsi="Arial" w:cs="Arial" w:hint="eastAsia"/>
                <w:kern w:val="0"/>
                <w:sz w:val="24"/>
              </w:rPr>
              <w:t>（一）申请报告；（二）《典当经营许可证》及复印件；（三）法定代表人、个人股东和其他高级管理人员的简历及有效身份证件复印件；（四）法定代表人、个人股东和其他高级管理人员的户口所在地县级人民政府公安机关出具的无故意犯罪记录证明；（五）典当行经营场所及保管库房平面图、建筑结构图；（六）</w:t>
            </w:r>
            <w:r w:rsidRPr="001A3CF9">
              <w:rPr>
                <w:rFonts w:ascii="仿宋_GB2312" w:eastAsia="仿宋_GB2312" w:hAnsi="Arial" w:cs="Arial" w:hint="eastAsia"/>
                <w:kern w:val="0"/>
                <w:sz w:val="24"/>
              </w:rPr>
              <w:lastRenderedPageBreak/>
              <w:t xml:space="preserve">录像设备、防护设施、保险箱（柜、库）及消防设施安装、设置位置分布图；（七）各项治安保卫、消防安全管理制度；（八）治安保卫组织或者治安保卫人员基本情况。 </w:t>
            </w:r>
          </w:p>
        </w:tc>
      </w:tr>
      <w:tr w:rsidR="00080C23" w:rsidRPr="001A3CF9" w:rsidTr="00307DDF">
        <w:trPr>
          <w:trHeight w:val="450"/>
        </w:trPr>
        <w:tc>
          <w:tcPr>
            <w:tcW w:w="1985" w:type="dxa"/>
            <w:vAlign w:val="center"/>
          </w:tcPr>
          <w:p w:rsidR="00080C23" w:rsidRPr="001A3CF9" w:rsidRDefault="00080C23" w:rsidP="00307DDF">
            <w:pPr>
              <w:jc w:val="center"/>
              <w:rPr>
                <w:rFonts w:ascii="楷体_GB2312" w:eastAsia="楷体_GB2312" w:hint="eastAsia"/>
                <w:sz w:val="24"/>
              </w:rPr>
            </w:pPr>
            <w:r w:rsidRPr="001A3CF9">
              <w:rPr>
                <w:rFonts w:ascii="楷体_GB2312" w:eastAsia="楷体_GB2312" w:hint="eastAsia"/>
                <w:sz w:val="24"/>
              </w:rPr>
              <w:lastRenderedPageBreak/>
              <w:t>部门处理意见</w:t>
            </w:r>
          </w:p>
        </w:tc>
        <w:tc>
          <w:tcPr>
            <w:tcW w:w="7201" w:type="dxa"/>
            <w:vAlign w:val="center"/>
          </w:tcPr>
          <w:p w:rsidR="00080C23" w:rsidRPr="001A3CF9" w:rsidRDefault="00080C23" w:rsidP="00307DDF">
            <w:pPr>
              <w:jc w:val="center"/>
              <w:rPr>
                <w:rFonts w:ascii="仿宋_GB2312" w:eastAsia="仿宋_GB2312" w:hint="eastAsia"/>
                <w:sz w:val="24"/>
              </w:rPr>
            </w:pPr>
            <w:r w:rsidRPr="001A3CF9">
              <w:rPr>
                <w:rFonts w:ascii="仿宋_GB2312" w:eastAsia="仿宋_GB2312" w:hint="eastAsia"/>
                <w:sz w:val="24"/>
              </w:rPr>
              <w:t>保留规范</w:t>
            </w:r>
          </w:p>
        </w:tc>
      </w:tr>
      <w:tr w:rsidR="00080C23" w:rsidRPr="001A3CF9" w:rsidTr="00307DDF">
        <w:trPr>
          <w:trHeight w:val="514"/>
        </w:trPr>
        <w:tc>
          <w:tcPr>
            <w:tcW w:w="1985" w:type="dxa"/>
            <w:vAlign w:val="center"/>
          </w:tcPr>
          <w:p w:rsidR="00080C23" w:rsidRPr="001A3CF9" w:rsidRDefault="00080C23" w:rsidP="00307DDF">
            <w:pPr>
              <w:jc w:val="center"/>
              <w:rPr>
                <w:rFonts w:ascii="楷体_GB2312" w:eastAsia="楷体_GB2312" w:hint="eastAsia"/>
                <w:sz w:val="24"/>
              </w:rPr>
            </w:pPr>
            <w:r w:rsidRPr="001A3CF9">
              <w:rPr>
                <w:rFonts w:ascii="楷体_GB2312" w:eastAsia="楷体_GB2312" w:hint="eastAsia"/>
                <w:sz w:val="24"/>
              </w:rPr>
              <w:t>承办机构及联系电话</w:t>
            </w:r>
          </w:p>
        </w:tc>
        <w:tc>
          <w:tcPr>
            <w:tcW w:w="7201" w:type="dxa"/>
            <w:vAlign w:val="center"/>
          </w:tcPr>
          <w:p w:rsidR="00080C23" w:rsidRPr="001A3CF9" w:rsidRDefault="00080C23" w:rsidP="00307DDF">
            <w:pPr>
              <w:jc w:val="center"/>
              <w:rPr>
                <w:rFonts w:ascii="仿宋_GB2312" w:eastAsia="仿宋_GB2312" w:hint="eastAsia"/>
                <w:sz w:val="24"/>
              </w:rPr>
            </w:pPr>
            <w:r>
              <w:rPr>
                <w:rFonts w:ascii="仿宋_GB2312" w:eastAsia="仿宋_GB2312" w:hint="eastAsia"/>
                <w:sz w:val="24"/>
              </w:rPr>
              <w:t>随州</w:t>
            </w:r>
            <w:r w:rsidRPr="001A3CF9">
              <w:rPr>
                <w:rFonts w:ascii="仿宋_GB2312" w:eastAsia="仿宋_GB2312" w:hint="eastAsia"/>
                <w:sz w:val="24"/>
              </w:rPr>
              <w:t>市公安局治安支队，</w:t>
            </w:r>
            <w:r>
              <w:rPr>
                <w:rFonts w:ascii="仿宋_GB2312" w:eastAsia="仿宋_GB2312" w:hint="eastAsia"/>
                <w:color w:val="FF0000"/>
                <w:sz w:val="24"/>
              </w:rPr>
              <w:t>3592055</w:t>
            </w:r>
          </w:p>
        </w:tc>
      </w:tr>
      <w:tr w:rsidR="00080C23" w:rsidRPr="001A3CF9" w:rsidTr="00307DDF">
        <w:trPr>
          <w:trHeight w:val="508"/>
        </w:trPr>
        <w:tc>
          <w:tcPr>
            <w:tcW w:w="1985" w:type="dxa"/>
            <w:vAlign w:val="center"/>
          </w:tcPr>
          <w:p w:rsidR="00080C23" w:rsidRPr="001A3CF9" w:rsidRDefault="00080C23" w:rsidP="00307DDF">
            <w:pPr>
              <w:jc w:val="center"/>
              <w:rPr>
                <w:rFonts w:ascii="楷体_GB2312" w:eastAsia="楷体_GB2312" w:hint="eastAsia"/>
                <w:sz w:val="24"/>
              </w:rPr>
            </w:pPr>
            <w:r w:rsidRPr="001A3CF9">
              <w:rPr>
                <w:rFonts w:ascii="楷体_GB2312" w:eastAsia="楷体_GB2312" w:hint="eastAsia"/>
                <w:sz w:val="24"/>
              </w:rPr>
              <w:t>市政府法制办审查意见</w:t>
            </w:r>
          </w:p>
        </w:tc>
        <w:tc>
          <w:tcPr>
            <w:tcW w:w="7201" w:type="dxa"/>
          </w:tcPr>
          <w:p w:rsidR="00080C23" w:rsidRPr="001A3CF9" w:rsidRDefault="00080C23" w:rsidP="00307DDF">
            <w:pPr>
              <w:rPr>
                <w:rFonts w:ascii="仿宋_GB2312" w:eastAsia="仿宋_GB2312" w:hint="eastAsia"/>
                <w:sz w:val="24"/>
              </w:rPr>
            </w:pPr>
          </w:p>
        </w:tc>
      </w:tr>
      <w:tr w:rsidR="00080C23" w:rsidRPr="003D3E43" w:rsidTr="00307DDF">
        <w:tc>
          <w:tcPr>
            <w:tcW w:w="1985" w:type="dxa"/>
            <w:vAlign w:val="center"/>
          </w:tcPr>
          <w:p w:rsidR="00080C23" w:rsidRPr="001A3CF9" w:rsidRDefault="00080C23" w:rsidP="00307DDF">
            <w:pPr>
              <w:jc w:val="center"/>
              <w:rPr>
                <w:rFonts w:ascii="楷体_GB2312" w:eastAsia="楷体_GB2312" w:hint="eastAsia"/>
                <w:sz w:val="24"/>
              </w:rPr>
            </w:pPr>
            <w:r w:rsidRPr="001A3CF9">
              <w:rPr>
                <w:rFonts w:ascii="楷体_GB2312" w:eastAsia="楷体_GB2312" w:hint="eastAsia"/>
                <w:sz w:val="24"/>
              </w:rPr>
              <w:t>救济途径（复议、诉讼）</w:t>
            </w:r>
          </w:p>
        </w:tc>
        <w:tc>
          <w:tcPr>
            <w:tcW w:w="7201" w:type="dxa"/>
          </w:tcPr>
          <w:p w:rsidR="00080C23" w:rsidRPr="003D3E43" w:rsidRDefault="00080C23" w:rsidP="00307DDF">
            <w:pPr>
              <w:ind w:firstLineChars="200" w:firstLine="480"/>
              <w:rPr>
                <w:rFonts w:ascii="仿宋_GB2312" w:eastAsia="仿宋_GB2312" w:hint="eastAsia"/>
                <w:sz w:val="24"/>
              </w:rPr>
            </w:pPr>
            <w:r>
              <w:rPr>
                <w:rFonts w:ascii="仿宋_GB2312" w:eastAsia="仿宋_GB2312" w:hint="eastAsia"/>
                <w:sz w:val="24"/>
              </w:rPr>
              <w:t>自知道具体行政行为之日起60日内向随州市人民政府或省公安厅申请行政复议，或三个月内向人民法院提请诉讼。</w:t>
            </w:r>
          </w:p>
        </w:tc>
      </w:tr>
    </w:tbl>
    <w:p w:rsidR="00F92F83" w:rsidRDefault="00F92F83"/>
    <w:sectPr w:rsidR="00F92F83" w:rsidSect="00F92F8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微软雅黑"/>
    <w:charset w:val="86"/>
    <w:family w:val="modern"/>
    <w:pitch w:val="fixed"/>
    <w:sig w:usb0="00000000"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Arial Narrow">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F49C9"/>
    <w:multiLevelType w:val="hybridMultilevel"/>
    <w:tmpl w:val="8D963EE4"/>
    <w:lvl w:ilvl="0" w:tplc="F1A85FB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80C23"/>
    <w:rsid w:val="00080C23"/>
    <w:rsid w:val="00F92F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C2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135</Words>
  <Characters>776</Characters>
  <Application>Microsoft Office Word</Application>
  <DocSecurity>0</DocSecurity>
  <Lines>6</Lines>
  <Paragraphs>1</Paragraphs>
  <ScaleCrop>false</ScaleCrop>
  <Company>CHINA</Company>
  <LinksUpToDate>false</LinksUpToDate>
  <CharactersWithSpaces>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dreamsummit</cp:lastModifiedBy>
  <cp:revision>2</cp:revision>
  <dcterms:created xsi:type="dcterms:W3CDTF">2020-11-18T01:22:00Z</dcterms:created>
  <dcterms:modified xsi:type="dcterms:W3CDTF">2020-11-18T01:22:00Z</dcterms:modified>
</cp:coreProperties>
</file>