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4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6908"/>
      </w:tblGrid>
      <w:tr w:rsidR="00EB3E1E" w:rsidTr="00EB3E1E">
        <w:trPr>
          <w:trHeight w:val="616"/>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权力编码</w:t>
            </w:r>
          </w:p>
        </w:tc>
        <w:tc>
          <w:tcPr>
            <w:tcW w:w="6908" w:type="dxa"/>
            <w:vAlign w:val="center"/>
          </w:tcPr>
          <w:p w:rsidR="00EB3E1E" w:rsidRPr="004122A6" w:rsidRDefault="00EB3E1E" w:rsidP="00EB3E1E">
            <w:pPr>
              <w:jc w:val="center"/>
              <w:rPr>
                <w:rFonts w:ascii="仿宋_GB2312" w:eastAsia="仿宋_GB2312" w:hint="eastAsia"/>
                <w:sz w:val="24"/>
              </w:rPr>
            </w:pPr>
            <w:r>
              <w:rPr>
                <w:rFonts w:ascii="仿宋_GB2312" w:eastAsia="仿宋_GB2312" w:hint="eastAsia"/>
                <w:sz w:val="24"/>
              </w:rPr>
              <w:t>6</w:t>
            </w:r>
          </w:p>
        </w:tc>
      </w:tr>
      <w:tr w:rsidR="00EB3E1E" w:rsidTr="00EB3E1E">
        <w:trPr>
          <w:trHeight w:val="766"/>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权力名称</w:t>
            </w:r>
          </w:p>
        </w:tc>
        <w:tc>
          <w:tcPr>
            <w:tcW w:w="6908" w:type="dxa"/>
            <w:vAlign w:val="center"/>
          </w:tcPr>
          <w:p w:rsidR="00EB3E1E" w:rsidRPr="004122A6" w:rsidRDefault="00EB3E1E" w:rsidP="00EB3E1E">
            <w:pPr>
              <w:spacing w:line="360" w:lineRule="exact"/>
              <w:jc w:val="center"/>
              <w:rPr>
                <w:rFonts w:ascii="仿宋_GB2312" w:eastAsia="仿宋_GB2312" w:hint="eastAsia"/>
                <w:sz w:val="24"/>
              </w:rPr>
            </w:pPr>
            <w:r w:rsidRPr="004122A6">
              <w:rPr>
                <w:rFonts w:ascii="仿宋_GB2312" w:eastAsia="仿宋_GB2312" w:hint="eastAsia"/>
                <w:sz w:val="24"/>
              </w:rPr>
              <w:t>剧毒化学品购买许可</w:t>
            </w:r>
          </w:p>
        </w:tc>
      </w:tr>
      <w:tr w:rsidR="00EB3E1E" w:rsidTr="00EB3E1E">
        <w:trPr>
          <w:trHeight w:val="932"/>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实施主体</w:t>
            </w:r>
          </w:p>
        </w:tc>
        <w:tc>
          <w:tcPr>
            <w:tcW w:w="6908" w:type="dxa"/>
            <w:vAlign w:val="center"/>
          </w:tcPr>
          <w:p w:rsidR="00EB3E1E" w:rsidRDefault="00EB3E1E" w:rsidP="00EB3E1E">
            <w:pPr>
              <w:numPr>
                <w:ilvl w:val="0"/>
                <w:numId w:val="1"/>
              </w:numPr>
              <w:spacing w:line="360" w:lineRule="exact"/>
              <w:jc w:val="center"/>
              <w:rPr>
                <w:rFonts w:ascii="仿宋_GB2312" w:eastAsia="仿宋_GB2312" w:hint="eastAsia"/>
                <w:sz w:val="24"/>
              </w:rPr>
            </w:pPr>
            <w:r>
              <w:rPr>
                <w:rFonts w:ascii="仿宋_GB2312" w:eastAsia="仿宋_GB2312" w:hint="eastAsia"/>
                <w:sz w:val="24"/>
              </w:rPr>
              <w:t>随州</w:t>
            </w:r>
            <w:r w:rsidRPr="007646B7">
              <w:rPr>
                <w:rFonts w:ascii="仿宋_GB2312" w:eastAsia="仿宋_GB2312" w:hint="eastAsia"/>
                <w:sz w:val="24"/>
              </w:rPr>
              <w:t>市公安局</w:t>
            </w:r>
            <w:r>
              <w:rPr>
                <w:rFonts w:ascii="仿宋_GB2312" w:eastAsia="仿宋_GB2312" w:hint="eastAsia"/>
                <w:sz w:val="24"/>
              </w:rPr>
              <w:t>（法定）</w:t>
            </w:r>
          </w:p>
          <w:p w:rsidR="00EB3E1E" w:rsidRPr="007646B7" w:rsidRDefault="00EB3E1E" w:rsidP="00EB3E1E">
            <w:pPr>
              <w:spacing w:line="360" w:lineRule="exact"/>
              <w:jc w:val="center"/>
              <w:rPr>
                <w:rFonts w:ascii="仿宋_GB2312" w:eastAsia="仿宋_GB2312" w:hint="eastAsia"/>
                <w:sz w:val="24"/>
              </w:rPr>
            </w:pPr>
            <w:r>
              <w:rPr>
                <w:rFonts w:ascii="仿宋_GB2312" w:eastAsia="仿宋_GB2312" w:hint="eastAsia"/>
                <w:sz w:val="24"/>
              </w:rPr>
              <w:t xml:space="preserve">        2、随州市公安局治安支队（委托）</w:t>
            </w:r>
          </w:p>
        </w:tc>
      </w:tr>
      <w:tr w:rsidR="00EB3E1E" w:rsidTr="00EB3E1E">
        <w:trPr>
          <w:trHeight w:val="3719"/>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权力依据</w:t>
            </w:r>
          </w:p>
        </w:tc>
        <w:tc>
          <w:tcPr>
            <w:tcW w:w="6908" w:type="dxa"/>
            <w:vAlign w:val="center"/>
          </w:tcPr>
          <w:p w:rsidR="00EB3E1E" w:rsidRPr="004122A6" w:rsidRDefault="00EB3E1E" w:rsidP="00EB3E1E">
            <w:pPr>
              <w:spacing w:line="340" w:lineRule="exact"/>
              <w:ind w:firstLineChars="200" w:firstLine="480"/>
              <w:rPr>
                <w:rFonts w:ascii="仿宋_GB2312" w:eastAsia="仿宋_GB2312" w:hint="eastAsia"/>
                <w:color w:val="000000"/>
                <w:sz w:val="24"/>
              </w:rPr>
            </w:pPr>
            <w:r w:rsidRPr="00B24FB3">
              <w:rPr>
                <w:rFonts w:ascii="仿宋_GB2312" w:eastAsia="仿宋_GB2312" w:hint="eastAsia"/>
                <w:b/>
                <w:sz w:val="24"/>
              </w:rPr>
              <w:t>《危险化学品安全管理条例》</w:t>
            </w:r>
            <w:r w:rsidRPr="004122A6">
              <w:rPr>
                <w:rFonts w:ascii="仿宋_GB2312" w:eastAsia="仿宋_GB2312" w:hint="eastAsia"/>
                <w:sz w:val="24"/>
              </w:rPr>
              <w:t>第六条第二款：</w:t>
            </w:r>
            <w:r w:rsidRPr="004122A6">
              <w:rPr>
                <w:rFonts w:ascii="仿宋_GB2312" w:eastAsia="仿宋_GB2312" w:hint="eastAsia"/>
                <w:color w:val="000000"/>
                <w:sz w:val="24"/>
              </w:rPr>
              <w:t>公安机关负责危险化学品的公共安全管理，核发剧毒化学品购买许可证、剧毒化学品道路运输通行证，并负责危险化学品运输车辆的道路交通安全管理。</w:t>
            </w:r>
          </w:p>
          <w:p w:rsidR="00EB3E1E" w:rsidRPr="004122A6" w:rsidRDefault="00EB3E1E" w:rsidP="00EB3E1E">
            <w:pPr>
              <w:spacing w:line="340" w:lineRule="exact"/>
              <w:ind w:firstLineChars="200" w:firstLine="480"/>
              <w:rPr>
                <w:rFonts w:ascii="仿宋_GB2312" w:eastAsia="仿宋_GB2312" w:hAnsi="宋体" w:cs="宋体" w:hint="eastAsia"/>
                <w:kern w:val="0"/>
                <w:sz w:val="24"/>
              </w:rPr>
            </w:pPr>
            <w:r w:rsidRPr="00B24FB3">
              <w:rPr>
                <w:rFonts w:ascii="仿宋_GB2312" w:eastAsia="仿宋_GB2312" w:hAnsi="宋体" w:hint="eastAsia"/>
                <w:b/>
                <w:sz w:val="24"/>
              </w:rPr>
              <w:t>《剧毒化学品购买和公路运输许可证件管理办法》</w:t>
            </w:r>
            <w:r w:rsidRPr="004122A6">
              <w:rPr>
                <w:rFonts w:ascii="仿宋_GB2312" w:eastAsia="仿宋_GB2312" w:hAnsi="宋体" w:cs="宋体" w:hint="eastAsia"/>
                <w:kern w:val="0"/>
                <w:sz w:val="24"/>
              </w:rPr>
              <w:t>第五条</w:t>
            </w:r>
            <w:r w:rsidRPr="004122A6">
              <w:rPr>
                <w:rFonts w:ascii="仿宋_GB2312" w:eastAsia="仿宋_GB2312" w:hAnsi="Times" w:cs="宋体" w:hint="eastAsia"/>
                <w:kern w:val="0"/>
                <w:sz w:val="24"/>
              </w:rPr>
              <w:t>：</w:t>
            </w:r>
            <w:r w:rsidRPr="004122A6">
              <w:rPr>
                <w:rFonts w:ascii="仿宋_GB2312" w:eastAsia="仿宋_GB2312" w:hAnsi="宋体" w:cs="宋体" w:hint="eastAsia"/>
                <w:kern w:val="0"/>
                <w:sz w:val="24"/>
              </w:rPr>
              <w:t>经常需要购买、使用剧毒化学品的，应当持销售单位生产或者经营剧毒化学品资质证明复印件，向购买单位所在地设区的市级人民政府公安机关治安管理部门提出申请。</w:t>
            </w:r>
          </w:p>
        </w:tc>
      </w:tr>
      <w:tr w:rsidR="00EB3E1E" w:rsidTr="00EB3E1E">
        <w:trPr>
          <w:trHeight w:val="1389"/>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三定方案</w:t>
            </w:r>
          </w:p>
        </w:tc>
        <w:tc>
          <w:tcPr>
            <w:tcW w:w="6908" w:type="dxa"/>
            <w:vAlign w:val="center"/>
          </w:tcPr>
          <w:p w:rsidR="00EB3E1E" w:rsidRPr="003D3E43" w:rsidRDefault="00EB3E1E" w:rsidP="00EB3E1E">
            <w:pPr>
              <w:ind w:firstLineChars="200" w:firstLine="480"/>
              <w:rPr>
                <w:rFonts w:ascii="仿宋_GB2312" w:eastAsia="仿宋_GB2312" w:hint="eastAsia"/>
                <w:sz w:val="24"/>
              </w:rPr>
            </w:pPr>
            <w:r>
              <w:rPr>
                <w:rFonts w:ascii="仿宋_GB2312" w:eastAsia="仿宋_GB2312" w:hint="eastAsia"/>
                <w:sz w:val="24"/>
              </w:rPr>
              <w:t>随政办发〔2010〕60号</w:t>
            </w:r>
          </w:p>
        </w:tc>
      </w:tr>
      <w:tr w:rsidR="00EB3E1E" w:rsidTr="00EB3E1E">
        <w:trPr>
          <w:trHeight w:val="723"/>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收费依据及标准</w:t>
            </w:r>
          </w:p>
        </w:tc>
        <w:tc>
          <w:tcPr>
            <w:tcW w:w="6908" w:type="dxa"/>
            <w:vAlign w:val="center"/>
          </w:tcPr>
          <w:p w:rsidR="00EB3E1E" w:rsidRPr="004122A6" w:rsidRDefault="00EB3E1E" w:rsidP="00EB3E1E">
            <w:pPr>
              <w:spacing w:line="360" w:lineRule="exact"/>
              <w:jc w:val="center"/>
              <w:rPr>
                <w:rFonts w:ascii="仿宋_GB2312" w:eastAsia="仿宋_GB2312" w:hint="eastAsia"/>
                <w:sz w:val="24"/>
              </w:rPr>
            </w:pPr>
            <w:r w:rsidRPr="004122A6">
              <w:rPr>
                <w:rFonts w:ascii="仿宋_GB2312" w:eastAsia="仿宋_GB2312" w:hint="eastAsia"/>
                <w:sz w:val="24"/>
              </w:rPr>
              <w:t>不收费</w:t>
            </w:r>
          </w:p>
        </w:tc>
      </w:tr>
      <w:tr w:rsidR="00EB3E1E" w:rsidTr="00EB3E1E">
        <w:trPr>
          <w:trHeight w:val="3884"/>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许可条件</w:t>
            </w:r>
          </w:p>
        </w:tc>
        <w:tc>
          <w:tcPr>
            <w:tcW w:w="6908" w:type="dxa"/>
            <w:vAlign w:val="center"/>
          </w:tcPr>
          <w:p w:rsidR="00EB3E1E" w:rsidRDefault="00EB3E1E" w:rsidP="00EB3E1E">
            <w:pPr>
              <w:spacing w:line="320" w:lineRule="exact"/>
              <w:ind w:firstLineChars="200" w:firstLine="480"/>
              <w:rPr>
                <w:rFonts w:ascii="仿宋_GB2312" w:eastAsia="仿宋_GB2312" w:hAnsi="宋体" w:hint="eastAsia"/>
                <w:sz w:val="24"/>
              </w:rPr>
            </w:pPr>
          </w:p>
          <w:p w:rsidR="00EB3E1E" w:rsidRPr="004122A6" w:rsidRDefault="00EB3E1E" w:rsidP="00EB3E1E">
            <w:pPr>
              <w:spacing w:line="320" w:lineRule="exact"/>
              <w:ind w:firstLineChars="200" w:firstLine="480"/>
              <w:rPr>
                <w:rFonts w:ascii="仿宋_GB2312" w:eastAsia="仿宋_GB2312" w:hAnsi="宋体" w:hint="eastAsia"/>
                <w:sz w:val="24"/>
              </w:rPr>
            </w:pPr>
            <w:r w:rsidRPr="004122A6">
              <w:rPr>
                <w:rFonts w:ascii="仿宋_GB2312" w:eastAsia="仿宋_GB2312" w:hAnsi="宋体" w:hint="eastAsia"/>
                <w:sz w:val="24"/>
              </w:rPr>
              <w:t>一、经常需要购买、使用剧毒化学品的，应当持销售单位生产或者经营剧毒化学品资质证明复印件，向购买单位所在地设区的市级人民政府公安机关治安管理部门提出申请。符合要求的，由设区的市级人民政府公安机关负责人审批后，将盖有公安机关印章的《剧毒化学品购买凭证》成册发给购买或者使用单位保管、填写。</w:t>
            </w:r>
          </w:p>
          <w:p w:rsidR="00EB3E1E" w:rsidRPr="004122A6" w:rsidRDefault="00EB3E1E" w:rsidP="00EB3E1E">
            <w:pPr>
              <w:pStyle w:val="a4"/>
              <w:spacing w:line="320" w:lineRule="exact"/>
              <w:ind w:firstLineChars="200" w:firstLine="480"/>
              <w:rPr>
                <w:rFonts w:hAnsi="宋体" w:hint="eastAsia"/>
                <w:sz w:val="24"/>
                <w:szCs w:val="24"/>
              </w:rPr>
            </w:pPr>
            <w:r w:rsidRPr="004122A6">
              <w:rPr>
                <w:rFonts w:hAnsi="宋体" w:hint="eastAsia"/>
                <w:sz w:val="24"/>
                <w:szCs w:val="24"/>
              </w:rPr>
              <w:t>（一）生产危险化学品的企业申领《剧毒化学品购买凭证》时，应当如实填写《剧毒化学品购买凭证申请表》，并提交危险化学品生产企业安全生产许可证或者批准书的复印件。</w:t>
            </w:r>
          </w:p>
          <w:p w:rsidR="00EB3E1E" w:rsidRPr="004122A6" w:rsidRDefault="00EB3E1E" w:rsidP="00EB3E1E">
            <w:pPr>
              <w:spacing w:line="320" w:lineRule="exact"/>
              <w:ind w:firstLineChars="200" w:firstLine="480"/>
              <w:rPr>
                <w:rFonts w:ascii="仿宋_GB2312" w:eastAsia="仿宋_GB2312" w:hAnsi="宋体" w:hint="eastAsia"/>
                <w:sz w:val="24"/>
              </w:rPr>
            </w:pPr>
            <w:r w:rsidRPr="004122A6">
              <w:rPr>
                <w:rFonts w:ascii="仿宋_GB2312" w:eastAsia="仿宋_GB2312" w:hAnsi="宋体" w:hint="eastAsia"/>
                <w:sz w:val="24"/>
              </w:rPr>
              <w:t>（二）经营剧毒化学品的企业申领《剧毒化学品购买凭证》时，应当如实填写《剧毒化学品购买凭证申请表》，并提交危险化学品经营许可证（甲种）的复印件。</w:t>
            </w:r>
          </w:p>
          <w:p w:rsidR="00EB3E1E" w:rsidRPr="004122A6" w:rsidRDefault="00EB3E1E" w:rsidP="00EB3E1E">
            <w:pPr>
              <w:spacing w:line="320" w:lineRule="exact"/>
              <w:ind w:firstLineChars="200" w:firstLine="480"/>
              <w:rPr>
                <w:rFonts w:ascii="仿宋_GB2312" w:eastAsia="仿宋_GB2312" w:hAnsi="宋体" w:hint="eastAsia"/>
                <w:sz w:val="24"/>
              </w:rPr>
            </w:pPr>
            <w:r w:rsidRPr="004122A6">
              <w:rPr>
                <w:rFonts w:ascii="仿宋_GB2312" w:eastAsia="仿宋_GB2312" w:hAnsi="宋体" w:hint="eastAsia"/>
                <w:sz w:val="24"/>
              </w:rPr>
              <w:t>（三）某些生产、科研、医疗等经常需要使用剧毒化学品的单位申领《剧毒化学品购买凭证》时，应当如实填写《剧毒化学品购买凭证申请表》，并提交使用、接触剧毒化学品从业人员的上岗资格证的复印件。使用剧毒化学品从事生产的单位还应当提</w:t>
            </w:r>
            <w:r w:rsidRPr="004122A6">
              <w:rPr>
                <w:rFonts w:ascii="仿宋_GB2312" w:eastAsia="仿宋_GB2312" w:hAnsi="宋体" w:hint="eastAsia"/>
                <w:sz w:val="24"/>
              </w:rPr>
              <w:lastRenderedPageBreak/>
              <w:t>交危险化学品使用许可证、批准书或者其他相应的从业许可证明。</w:t>
            </w:r>
          </w:p>
          <w:p w:rsidR="00EB3E1E" w:rsidRPr="004122A6" w:rsidRDefault="00EB3E1E" w:rsidP="00EB3E1E">
            <w:pPr>
              <w:pStyle w:val="a3"/>
              <w:spacing w:line="320" w:lineRule="exact"/>
              <w:ind w:firstLineChars="200" w:firstLine="480"/>
              <w:rPr>
                <w:rFonts w:hAnsi="宋体" w:hint="eastAsia"/>
                <w:sz w:val="24"/>
                <w:szCs w:val="24"/>
              </w:rPr>
            </w:pPr>
            <w:r w:rsidRPr="004122A6">
              <w:rPr>
                <w:rFonts w:hAnsi="宋体" w:hint="eastAsia"/>
                <w:sz w:val="24"/>
                <w:szCs w:val="24"/>
              </w:rPr>
              <w:t>二、临时需要购买、使用剧毒化学品的，应当持销售单位生产或者经营剧毒化学品资质证明复印件，向购买单位所在地设区的市级人民政府公安机关治安管理部门提出申请。符合要求的，由设区的市级人民政府公安机关负责人审批签发《剧毒化学品准购证》。</w:t>
            </w:r>
          </w:p>
          <w:p w:rsidR="00EB3E1E" w:rsidRPr="004122A6" w:rsidRDefault="00EB3E1E" w:rsidP="00EB3E1E">
            <w:pPr>
              <w:spacing w:line="320" w:lineRule="exact"/>
              <w:ind w:firstLineChars="200" w:firstLine="480"/>
              <w:rPr>
                <w:rFonts w:ascii="仿宋_GB2312" w:eastAsia="仿宋_GB2312" w:hint="eastAsia"/>
                <w:sz w:val="24"/>
              </w:rPr>
            </w:pPr>
            <w:r w:rsidRPr="004122A6">
              <w:rPr>
                <w:rFonts w:ascii="仿宋_GB2312" w:eastAsia="仿宋_GB2312" w:hAnsi="宋体" w:hint="eastAsia"/>
                <w:sz w:val="24"/>
              </w:rPr>
              <w:t>申领《剧毒化学品准购证》时，应当如实填写《剧毒化学品准购证申请表》，并提交注明品名、数量、用途的单位证明。</w:t>
            </w:r>
          </w:p>
        </w:tc>
      </w:tr>
      <w:tr w:rsidR="00EB3E1E" w:rsidTr="00EB3E1E">
        <w:trPr>
          <w:trHeight w:val="798"/>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lastRenderedPageBreak/>
              <w:t>许可期限</w:t>
            </w:r>
          </w:p>
        </w:tc>
        <w:tc>
          <w:tcPr>
            <w:tcW w:w="6908" w:type="dxa"/>
            <w:vAlign w:val="center"/>
          </w:tcPr>
          <w:p w:rsidR="00EB3E1E" w:rsidRPr="004122A6" w:rsidRDefault="00EB3E1E" w:rsidP="00EB3E1E">
            <w:pPr>
              <w:jc w:val="center"/>
              <w:rPr>
                <w:rFonts w:ascii="仿宋_GB2312" w:eastAsia="仿宋_GB2312" w:hint="eastAsia"/>
                <w:sz w:val="24"/>
              </w:rPr>
            </w:pPr>
            <w:r w:rsidRPr="004122A6">
              <w:rPr>
                <w:rFonts w:ascii="仿宋_GB2312" w:eastAsia="仿宋_GB2312" w:hint="eastAsia"/>
                <w:sz w:val="24"/>
              </w:rPr>
              <w:t>法定期限：3天</w:t>
            </w:r>
          </w:p>
          <w:p w:rsidR="00EB3E1E" w:rsidRPr="004122A6" w:rsidRDefault="00EB3E1E" w:rsidP="00EB3E1E">
            <w:pPr>
              <w:jc w:val="center"/>
              <w:rPr>
                <w:rFonts w:ascii="仿宋_GB2312" w:eastAsia="仿宋_GB2312" w:hint="eastAsia"/>
                <w:sz w:val="24"/>
              </w:rPr>
            </w:pPr>
            <w:r w:rsidRPr="004122A6">
              <w:rPr>
                <w:rFonts w:ascii="仿宋_GB2312" w:eastAsia="仿宋_GB2312" w:hint="eastAsia"/>
                <w:sz w:val="24"/>
              </w:rPr>
              <w:t>承诺期限：3天</w:t>
            </w:r>
          </w:p>
        </w:tc>
      </w:tr>
      <w:tr w:rsidR="00EB3E1E" w:rsidTr="00EB3E1E">
        <w:trPr>
          <w:trHeight w:val="3595"/>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需提交的材料</w:t>
            </w:r>
          </w:p>
        </w:tc>
        <w:tc>
          <w:tcPr>
            <w:tcW w:w="6908" w:type="dxa"/>
            <w:vAlign w:val="center"/>
          </w:tcPr>
          <w:p w:rsidR="00EB3E1E" w:rsidRPr="004122A6" w:rsidRDefault="00EB3E1E" w:rsidP="00EB3E1E">
            <w:pPr>
              <w:spacing w:line="360" w:lineRule="exact"/>
              <w:ind w:firstLineChars="150" w:firstLine="360"/>
              <w:rPr>
                <w:rFonts w:ascii="仿宋_GB2312" w:eastAsia="仿宋_GB2312" w:hAnsi="宋体" w:hint="eastAsia"/>
                <w:color w:val="000000"/>
                <w:sz w:val="24"/>
              </w:rPr>
            </w:pPr>
            <w:r w:rsidRPr="004122A6">
              <w:rPr>
                <w:rFonts w:ascii="仿宋_GB2312" w:eastAsia="仿宋_GB2312" w:hint="eastAsia"/>
                <w:color w:val="000000"/>
                <w:sz w:val="24"/>
              </w:rPr>
              <w:t>申请取得剧毒化学品购买许可证，申请人应当向所在地县级人民政府公安机关提交下列材料：</w:t>
            </w:r>
          </w:p>
          <w:p w:rsidR="00EB3E1E" w:rsidRPr="004122A6" w:rsidRDefault="00EB3E1E" w:rsidP="00EB3E1E">
            <w:pPr>
              <w:spacing w:line="360" w:lineRule="exact"/>
              <w:ind w:firstLineChars="100" w:firstLine="240"/>
              <w:rPr>
                <w:rFonts w:ascii="仿宋_GB2312" w:eastAsia="仿宋_GB2312" w:hAnsi="宋体" w:hint="eastAsia"/>
                <w:color w:val="000000"/>
                <w:sz w:val="24"/>
              </w:rPr>
            </w:pPr>
            <w:r w:rsidRPr="004122A6">
              <w:rPr>
                <w:rFonts w:ascii="仿宋_GB2312" w:eastAsia="仿宋_GB2312" w:hint="eastAsia"/>
                <w:color w:val="000000"/>
                <w:sz w:val="24"/>
              </w:rPr>
              <w:t>（一）营业执照或者法人证书（登记证书）的复印件；</w:t>
            </w:r>
          </w:p>
          <w:p w:rsidR="00EB3E1E" w:rsidRPr="004122A6" w:rsidRDefault="00EB3E1E" w:rsidP="00EB3E1E">
            <w:pPr>
              <w:spacing w:line="360" w:lineRule="exact"/>
              <w:ind w:firstLineChars="100" w:firstLine="240"/>
              <w:rPr>
                <w:rFonts w:ascii="仿宋_GB2312" w:eastAsia="仿宋_GB2312" w:hint="eastAsia"/>
                <w:color w:val="000000"/>
                <w:sz w:val="24"/>
              </w:rPr>
            </w:pPr>
            <w:r w:rsidRPr="004122A6">
              <w:rPr>
                <w:rFonts w:ascii="仿宋_GB2312" w:eastAsia="仿宋_GB2312" w:hint="eastAsia"/>
                <w:color w:val="000000"/>
                <w:sz w:val="24"/>
              </w:rPr>
              <w:t>（二）拟购买的剧毒化学品品种、数量的说明；</w:t>
            </w:r>
          </w:p>
          <w:p w:rsidR="00EB3E1E" w:rsidRPr="004122A6" w:rsidRDefault="00EB3E1E" w:rsidP="00EB3E1E">
            <w:pPr>
              <w:spacing w:line="360" w:lineRule="exact"/>
              <w:ind w:firstLineChars="100" w:firstLine="240"/>
              <w:rPr>
                <w:rFonts w:ascii="仿宋_GB2312" w:eastAsia="仿宋_GB2312" w:hAnsi="宋体" w:hint="eastAsia"/>
                <w:color w:val="000000"/>
                <w:sz w:val="24"/>
              </w:rPr>
            </w:pPr>
            <w:r w:rsidRPr="004122A6">
              <w:rPr>
                <w:rFonts w:ascii="仿宋_GB2312" w:eastAsia="仿宋_GB2312" w:hint="eastAsia"/>
                <w:color w:val="000000"/>
                <w:sz w:val="24"/>
              </w:rPr>
              <w:t>（三）购买剧毒化学品用途的说明；</w:t>
            </w:r>
          </w:p>
          <w:p w:rsidR="00EB3E1E" w:rsidRPr="004122A6" w:rsidRDefault="00EB3E1E" w:rsidP="00EB3E1E">
            <w:pPr>
              <w:spacing w:line="360" w:lineRule="exact"/>
              <w:ind w:firstLineChars="100" w:firstLine="240"/>
              <w:rPr>
                <w:rFonts w:ascii="仿宋_GB2312" w:eastAsia="仿宋_GB2312" w:hAnsi="宋体" w:hint="eastAsia"/>
                <w:color w:val="000000"/>
                <w:sz w:val="24"/>
              </w:rPr>
            </w:pPr>
            <w:r w:rsidRPr="004122A6">
              <w:rPr>
                <w:rFonts w:ascii="仿宋_GB2312" w:eastAsia="仿宋_GB2312" w:hint="eastAsia"/>
                <w:color w:val="000000"/>
                <w:sz w:val="24"/>
              </w:rPr>
              <w:t>（四）经办人的身份证明。</w:t>
            </w:r>
          </w:p>
        </w:tc>
      </w:tr>
      <w:tr w:rsidR="00EB3E1E" w:rsidTr="00EB3E1E">
        <w:trPr>
          <w:trHeight w:val="862"/>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部门处理意见</w:t>
            </w:r>
          </w:p>
        </w:tc>
        <w:tc>
          <w:tcPr>
            <w:tcW w:w="6908" w:type="dxa"/>
            <w:vAlign w:val="center"/>
          </w:tcPr>
          <w:p w:rsidR="00EB3E1E" w:rsidRPr="004122A6" w:rsidRDefault="00EB3E1E" w:rsidP="00EB3E1E">
            <w:pPr>
              <w:jc w:val="center"/>
              <w:rPr>
                <w:rFonts w:ascii="仿宋_GB2312" w:eastAsia="仿宋_GB2312" w:hint="eastAsia"/>
                <w:sz w:val="24"/>
              </w:rPr>
            </w:pPr>
            <w:r w:rsidRPr="004122A6">
              <w:rPr>
                <w:rFonts w:ascii="仿宋_GB2312" w:eastAsia="仿宋_GB2312" w:hint="eastAsia"/>
                <w:sz w:val="24"/>
              </w:rPr>
              <w:t>保留规范</w:t>
            </w:r>
          </w:p>
        </w:tc>
      </w:tr>
      <w:tr w:rsidR="00EB3E1E" w:rsidTr="00EB3E1E">
        <w:trPr>
          <w:trHeight w:val="1012"/>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承办机构及联系电话</w:t>
            </w:r>
          </w:p>
        </w:tc>
        <w:tc>
          <w:tcPr>
            <w:tcW w:w="6908" w:type="dxa"/>
            <w:vAlign w:val="center"/>
          </w:tcPr>
          <w:p w:rsidR="00EB3E1E" w:rsidRPr="004122A6" w:rsidRDefault="00EB3E1E" w:rsidP="00EB3E1E">
            <w:pPr>
              <w:jc w:val="center"/>
              <w:rPr>
                <w:rFonts w:ascii="仿宋_GB2312" w:eastAsia="仿宋_GB2312" w:hint="eastAsia"/>
                <w:sz w:val="24"/>
              </w:rPr>
            </w:pPr>
            <w:r>
              <w:rPr>
                <w:rFonts w:ascii="仿宋_GB2312" w:eastAsia="仿宋_GB2312" w:hint="eastAsia"/>
                <w:sz w:val="24"/>
              </w:rPr>
              <w:t>行政服务中心公安局窗口</w:t>
            </w:r>
            <w:r w:rsidRPr="004122A6">
              <w:rPr>
                <w:rFonts w:ascii="仿宋_GB2312" w:eastAsia="仿宋_GB2312" w:hint="eastAsia"/>
                <w:sz w:val="24"/>
              </w:rPr>
              <w:t>，</w:t>
            </w:r>
            <w:r>
              <w:rPr>
                <w:rFonts w:ascii="仿宋_GB2312" w:eastAsia="仿宋_GB2312" w:hint="eastAsia"/>
                <w:sz w:val="24"/>
              </w:rPr>
              <w:t>3592029</w:t>
            </w:r>
          </w:p>
        </w:tc>
      </w:tr>
      <w:tr w:rsidR="00EB3E1E" w:rsidTr="00EB3E1E">
        <w:trPr>
          <w:trHeight w:val="882"/>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市政府法制办审查意见</w:t>
            </w:r>
          </w:p>
        </w:tc>
        <w:tc>
          <w:tcPr>
            <w:tcW w:w="6908" w:type="dxa"/>
          </w:tcPr>
          <w:p w:rsidR="00EB3E1E" w:rsidRPr="004122A6" w:rsidRDefault="00EB3E1E" w:rsidP="00EB3E1E">
            <w:pPr>
              <w:rPr>
                <w:rFonts w:ascii="仿宋_GB2312" w:eastAsia="仿宋_GB2312" w:hint="eastAsia"/>
                <w:sz w:val="24"/>
              </w:rPr>
            </w:pPr>
          </w:p>
        </w:tc>
      </w:tr>
      <w:tr w:rsidR="00EB3E1E" w:rsidTr="00EB3E1E">
        <w:trPr>
          <w:trHeight w:val="1046"/>
        </w:trPr>
        <w:tc>
          <w:tcPr>
            <w:tcW w:w="1912" w:type="dxa"/>
            <w:vAlign w:val="center"/>
          </w:tcPr>
          <w:p w:rsidR="00EB3E1E" w:rsidRPr="004122A6" w:rsidRDefault="00EB3E1E" w:rsidP="00EB3E1E">
            <w:pPr>
              <w:jc w:val="center"/>
              <w:rPr>
                <w:rFonts w:ascii="楷体_GB2312" w:eastAsia="楷体_GB2312" w:hint="eastAsia"/>
                <w:sz w:val="24"/>
              </w:rPr>
            </w:pPr>
            <w:r w:rsidRPr="004122A6">
              <w:rPr>
                <w:rFonts w:ascii="楷体_GB2312" w:eastAsia="楷体_GB2312" w:hint="eastAsia"/>
                <w:sz w:val="24"/>
              </w:rPr>
              <w:t>救济途径（复议、诉讼）</w:t>
            </w:r>
          </w:p>
        </w:tc>
        <w:tc>
          <w:tcPr>
            <w:tcW w:w="6908" w:type="dxa"/>
          </w:tcPr>
          <w:p w:rsidR="00EB3E1E" w:rsidRDefault="00EB3E1E" w:rsidP="00EB3E1E">
            <w:pPr>
              <w:ind w:firstLineChars="200" w:firstLine="480"/>
              <w:rPr>
                <w:rFonts w:ascii="仿宋_GB2312" w:eastAsia="仿宋_GB2312" w:hint="eastAsia"/>
                <w:sz w:val="24"/>
              </w:rPr>
            </w:pPr>
          </w:p>
          <w:p w:rsidR="00EB3E1E" w:rsidRPr="003D3E43" w:rsidRDefault="00EB3E1E" w:rsidP="00EB3E1E">
            <w:pPr>
              <w:ind w:firstLineChars="200" w:firstLine="480"/>
              <w:rPr>
                <w:rFonts w:ascii="仿宋_GB2312" w:eastAsia="仿宋_GB2312" w:hint="eastAsia"/>
                <w:sz w:val="24"/>
              </w:rPr>
            </w:pPr>
            <w:r>
              <w:rPr>
                <w:rFonts w:ascii="仿宋_GB2312" w:eastAsia="仿宋_GB2312" w:hint="eastAsia"/>
                <w:sz w:val="24"/>
              </w:rPr>
              <w:t>自知道具体行政行为之日起60日内向随州市人民政府或省</w:t>
            </w:r>
            <w:r>
              <w:rPr>
                <w:rFonts w:ascii="仿宋_GB2312" w:eastAsia="仿宋_GB2312" w:hint="eastAsia"/>
                <w:sz w:val="24"/>
              </w:rPr>
              <w:lastRenderedPageBreak/>
              <w:t>公安厅申请行政复议，或三个月内向人民法院提请诉讼。</w:t>
            </w:r>
          </w:p>
        </w:tc>
      </w:tr>
    </w:tbl>
    <w:p w:rsidR="00EB3E1E" w:rsidRDefault="00EB3E1E" w:rsidP="00EB3E1E">
      <w:pPr>
        <w:rPr>
          <w:rFonts w:hint="eastAsia"/>
        </w:rPr>
      </w:pPr>
    </w:p>
    <w:p w:rsidR="00F92F83" w:rsidRDefault="00F92F83"/>
    <w:sectPr w:rsidR="00F92F83" w:rsidSect="00F92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20E77"/>
    <w:multiLevelType w:val="hybridMultilevel"/>
    <w:tmpl w:val="6D421AE6"/>
    <w:lvl w:ilvl="0" w:tplc="0EB6AC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E1E"/>
    <w:rsid w:val="00EB3E1E"/>
    <w:rsid w:val="00F92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B3E1E"/>
    <w:pPr>
      <w:ind w:firstLineChars="225" w:firstLine="720"/>
    </w:pPr>
    <w:rPr>
      <w:rFonts w:ascii="仿宋_GB2312" w:eastAsia="仿宋_GB2312"/>
      <w:sz w:val="32"/>
      <w:szCs w:val="32"/>
    </w:rPr>
  </w:style>
  <w:style w:type="character" w:customStyle="1" w:styleId="Char">
    <w:name w:val="正文文本缩进 Char"/>
    <w:basedOn w:val="a0"/>
    <w:link w:val="a3"/>
    <w:rsid w:val="00EB3E1E"/>
    <w:rPr>
      <w:rFonts w:ascii="仿宋_GB2312" w:eastAsia="仿宋_GB2312" w:hAnsi="Times New Roman" w:cs="Times New Roman"/>
      <w:sz w:val="32"/>
      <w:szCs w:val="32"/>
    </w:rPr>
  </w:style>
  <w:style w:type="paragraph" w:styleId="a4">
    <w:name w:val="Body Text"/>
    <w:basedOn w:val="a"/>
    <w:link w:val="Char0"/>
    <w:rsid w:val="00EB3E1E"/>
    <w:rPr>
      <w:rFonts w:ascii="仿宋_GB2312" w:eastAsia="仿宋_GB2312"/>
      <w:sz w:val="32"/>
      <w:szCs w:val="32"/>
    </w:rPr>
  </w:style>
  <w:style w:type="character" w:customStyle="1" w:styleId="Char0">
    <w:name w:val="正文文本 Char"/>
    <w:basedOn w:val="a0"/>
    <w:link w:val="a4"/>
    <w:rsid w:val="00EB3E1E"/>
    <w:rPr>
      <w:rFonts w:ascii="仿宋_GB2312"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Words>
  <Characters>1003</Characters>
  <Application>Microsoft Office Word</Application>
  <DocSecurity>0</DocSecurity>
  <Lines>8</Lines>
  <Paragraphs>2</Paragraphs>
  <ScaleCrop>false</ScaleCrop>
  <Company>CHINA</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2020-11-18T01:24:00Z</dcterms:created>
  <dcterms:modified xsi:type="dcterms:W3CDTF">2020-11-18T01:26:00Z</dcterms:modified>
</cp:coreProperties>
</file>