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762" w:beforeLines="200" w:after="381" w:afterLines="100"/>
        <w:ind w:firstLine="0" w:firstLineChars="0"/>
        <w:jc w:val="center"/>
        <w:rPr>
          <w:rFonts w:ascii="华文新魏" w:hAnsi="宋体" w:eastAsia="华文新魏"/>
          <w:b/>
          <w:sz w:val="72"/>
          <w:szCs w:val="72"/>
        </w:rPr>
      </w:pPr>
      <w:r>
        <w:rPr>
          <w:rFonts w:hint="eastAsia" w:ascii="华文新魏" w:hAnsi="宋体" w:eastAsia="华文新魏"/>
          <w:b/>
          <w:sz w:val="72"/>
          <w:szCs w:val="72"/>
        </w:rPr>
        <w:t>随州市矿产资源总体规划</w:t>
      </w:r>
    </w:p>
    <w:p>
      <w:pPr>
        <w:spacing w:before="381" w:beforeLines="100" w:after="381" w:afterLines="100"/>
        <w:ind w:firstLine="0" w:firstLineChars="0"/>
        <w:jc w:val="center"/>
        <w:rPr>
          <w:rFonts w:ascii="楷体_GB2312" w:hAnsi="宋体" w:eastAsia="楷体_GB2312"/>
          <w:b/>
          <w:sz w:val="44"/>
          <w:szCs w:val="44"/>
        </w:rPr>
      </w:pPr>
      <w:r>
        <w:rPr>
          <w:rFonts w:hint="eastAsia" w:ascii="楷体_GB2312" w:hAnsi="宋体" w:eastAsia="楷体_GB2312"/>
          <w:b/>
          <w:sz w:val="52"/>
          <w:szCs w:val="44"/>
        </w:rPr>
        <w:t>（2021—2025年）</w:t>
      </w:r>
    </w:p>
    <w:p>
      <w:pPr>
        <w:pStyle w:val="2"/>
        <w:ind w:left="0" w:leftChars="0" w:firstLine="0" w:firstLineChars="0"/>
        <w:jc w:val="center"/>
      </w:pPr>
    </w:p>
    <w:p>
      <w:pPr>
        <w:ind w:firstLine="640"/>
      </w:pPr>
    </w:p>
    <w:p>
      <w:pPr>
        <w:ind w:firstLine="640"/>
      </w:pPr>
    </w:p>
    <w:p>
      <w:pPr>
        <w:pStyle w:val="2"/>
        <w:ind w:left="640" w:firstLine="640"/>
      </w:pPr>
    </w:p>
    <w:p>
      <w:pPr>
        <w:pStyle w:val="2"/>
        <w:ind w:left="640" w:firstLine="640"/>
      </w:pPr>
    </w:p>
    <w:p>
      <w:pPr>
        <w:pStyle w:val="2"/>
        <w:ind w:left="640" w:firstLine="640"/>
      </w:pPr>
    </w:p>
    <w:p>
      <w:pPr>
        <w:pStyle w:val="2"/>
        <w:ind w:left="640" w:firstLine="640"/>
      </w:pPr>
    </w:p>
    <w:p>
      <w:pPr>
        <w:pStyle w:val="2"/>
        <w:ind w:left="640" w:firstLine="640"/>
      </w:pPr>
    </w:p>
    <w:p>
      <w:pPr>
        <w:spacing w:line="240" w:lineRule="auto"/>
        <w:ind w:firstLine="0" w:firstLineChars="0"/>
        <w:jc w:val="center"/>
        <w:rPr>
          <w:rFonts w:hint="default" w:ascii="楷体_GB2312" w:eastAsia="楷体_GB2312"/>
          <w:b/>
          <w:sz w:val="36"/>
          <w:szCs w:val="36"/>
          <w:lang w:val="en-US" w:eastAsia="zh-CN"/>
        </w:rPr>
      </w:pPr>
      <w:bookmarkStart w:id="0" w:name="_Toc425574657"/>
      <w:bookmarkStart w:id="1" w:name="_Toc423988291"/>
      <w:bookmarkStart w:id="2" w:name="_Toc423164766"/>
      <w:bookmarkStart w:id="3" w:name="_Toc446029663"/>
      <w:bookmarkStart w:id="4" w:name="_Toc423103951"/>
      <w:bookmarkStart w:id="5" w:name="_Toc425706010"/>
      <w:bookmarkStart w:id="6" w:name="_Toc423987579"/>
      <w:bookmarkStart w:id="7" w:name="_Toc424765304"/>
      <w:bookmarkStart w:id="8" w:name="_Toc420359412"/>
      <w:bookmarkStart w:id="9" w:name="_Toc425519975"/>
      <w:bookmarkStart w:id="10" w:name="_Toc421786552"/>
      <w:bookmarkStart w:id="11" w:name="_Toc425802088"/>
      <w:bookmarkStart w:id="12" w:name="_Toc420358037"/>
      <w:bookmarkStart w:id="13" w:name="_Toc425802197"/>
      <w:r>
        <w:rPr>
          <w:rFonts w:hint="eastAsia" w:ascii="楷体_GB2312" w:eastAsia="楷体_GB2312"/>
          <w:b/>
          <w:sz w:val="36"/>
          <w:szCs w:val="36"/>
          <w:lang w:val="zh-CN"/>
        </w:rPr>
        <w:t>随州市</w:t>
      </w:r>
      <w:bookmarkEnd w:id="0"/>
      <w:bookmarkEnd w:id="1"/>
      <w:bookmarkEnd w:id="2"/>
      <w:bookmarkEnd w:id="3"/>
      <w:bookmarkEnd w:id="4"/>
      <w:bookmarkEnd w:id="5"/>
      <w:bookmarkEnd w:id="6"/>
      <w:bookmarkEnd w:id="7"/>
      <w:bookmarkEnd w:id="8"/>
      <w:bookmarkEnd w:id="9"/>
      <w:bookmarkEnd w:id="10"/>
      <w:bookmarkEnd w:id="11"/>
      <w:bookmarkEnd w:id="12"/>
      <w:bookmarkEnd w:id="13"/>
      <w:r>
        <w:rPr>
          <w:rFonts w:hint="eastAsia" w:ascii="楷体_GB2312" w:eastAsia="楷体_GB2312"/>
          <w:b/>
          <w:sz w:val="36"/>
          <w:szCs w:val="36"/>
          <w:lang w:val="en-US" w:eastAsia="zh-CN"/>
        </w:rPr>
        <w:t>自然资源和规划局</w:t>
      </w:r>
    </w:p>
    <w:p>
      <w:pPr>
        <w:spacing w:line="240" w:lineRule="auto"/>
        <w:ind w:firstLine="0" w:firstLineChars="0"/>
        <w:jc w:val="center"/>
        <w:rPr>
          <w:rFonts w:ascii="楷体_GB2312" w:eastAsia="楷体_GB2312"/>
          <w:b/>
          <w:sz w:val="36"/>
          <w:szCs w:val="36"/>
          <w:lang w:val="zh-CN"/>
        </w:rPr>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1417" w:gutter="0"/>
          <w:cols w:space="425" w:num="1"/>
          <w:docGrid w:type="linesAndChars" w:linePitch="381" w:charSpace="0"/>
        </w:sectPr>
      </w:pPr>
      <w:r>
        <w:rPr>
          <w:rFonts w:ascii="楷体_GB2312" w:eastAsia="楷体_GB2312"/>
          <w:b/>
          <w:sz w:val="36"/>
          <w:szCs w:val="36"/>
          <w:lang w:val="zh-CN"/>
        </w:rPr>
        <w:t>二</w:t>
      </w:r>
      <w:r>
        <w:rPr>
          <w:rFonts w:hint="eastAsia" w:ascii="楷体_GB2312" w:eastAsia="楷体_GB2312"/>
          <w:b/>
          <w:sz w:val="36"/>
          <w:szCs w:val="36"/>
          <w:lang w:val="zh-CN"/>
        </w:rPr>
        <w:t>○二二</w:t>
      </w:r>
      <w:r>
        <w:rPr>
          <w:rFonts w:ascii="楷体_GB2312" w:eastAsia="楷体_GB2312"/>
          <w:b/>
          <w:sz w:val="36"/>
          <w:szCs w:val="36"/>
          <w:lang w:val="zh-CN"/>
        </w:rPr>
        <w:t>年</w:t>
      </w:r>
      <w:r>
        <w:rPr>
          <w:rFonts w:hint="eastAsia" w:ascii="楷体_GB2312" w:eastAsia="楷体_GB2312"/>
          <w:b/>
          <w:sz w:val="36"/>
          <w:szCs w:val="36"/>
          <w:lang w:val="en-US" w:eastAsia="zh-CN"/>
        </w:rPr>
        <w:t>十二</w:t>
      </w:r>
      <w:r>
        <w:rPr>
          <w:rFonts w:ascii="楷体_GB2312" w:eastAsia="楷体_GB2312"/>
          <w:b/>
          <w:sz w:val="36"/>
          <w:szCs w:val="36"/>
          <w:lang w:val="zh-CN"/>
        </w:rPr>
        <w:t>月</w:t>
      </w:r>
    </w:p>
    <w:p>
      <w:pPr>
        <w:pStyle w:val="4"/>
        <w:spacing w:before="0" w:after="0" w:line="360" w:lineRule="auto"/>
        <w:jc w:val="center"/>
        <w:rPr>
          <w:rFonts w:ascii="黑体" w:hAnsi="黑体"/>
          <w:sz w:val="32"/>
        </w:rPr>
      </w:pPr>
      <w:bookmarkStart w:id="14" w:name="_Toc253051320"/>
      <w:bookmarkStart w:id="15" w:name="_Toc56934523"/>
      <w:bookmarkStart w:id="16" w:name="_Toc103951210"/>
      <w:bookmarkStart w:id="17" w:name="_Toc430840538"/>
      <w:bookmarkStart w:id="18" w:name="_Toc430545308"/>
      <w:r>
        <w:rPr>
          <w:rFonts w:hint="eastAsia" w:ascii="黑体" w:hAnsi="黑体"/>
          <w:sz w:val="32"/>
        </w:rPr>
        <w:t>总</w:t>
      </w:r>
      <w:r>
        <w:rPr>
          <w:rFonts w:hint="eastAsia" w:ascii="黑体" w:hAnsi="黑体"/>
          <w:sz w:val="32"/>
          <w:lang w:val="en-US" w:eastAsia="zh-CN"/>
        </w:rPr>
        <w:t xml:space="preserve">      </w:t>
      </w:r>
      <w:bookmarkStart w:id="113" w:name="_GoBack"/>
      <w:bookmarkEnd w:id="113"/>
      <w:r>
        <w:rPr>
          <w:rFonts w:hint="eastAsia" w:ascii="黑体" w:hAnsi="黑体"/>
          <w:sz w:val="32"/>
        </w:rPr>
        <w:t>则</w:t>
      </w:r>
      <w:bookmarkEnd w:id="14"/>
      <w:bookmarkEnd w:id="15"/>
      <w:bookmarkEnd w:id="16"/>
      <w:bookmarkEnd w:id="17"/>
      <w:bookmarkEnd w:id="18"/>
    </w:p>
    <w:p>
      <w:pPr>
        <w:spacing w:line="240" w:lineRule="auto"/>
        <w:ind w:firstLine="632"/>
        <w:jc w:val="both"/>
        <w:rPr>
          <w:rFonts w:ascii="仿宋_GB2312" w:hAnsi="仿宋" w:eastAsia="仿宋_GB2312"/>
          <w:szCs w:val="32"/>
        </w:rPr>
      </w:pPr>
      <w:bookmarkStart w:id="19" w:name="_Toc56934524"/>
      <w:bookmarkStart w:id="20" w:name="_Toc253051321"/>
      <w:bookmarkStart w:id="21" w:name="_Toc531408959"/>
      <w:bookmarkStart w:id="22" w:name="_Toc532022324"/>
      <w:bookmarkStart w:id="23" w:name="_Toc532022821"/>
      <w:bookmarkStart w:id="24" w:name="_Toc532098140"/>
      <w:bookmarkStart w:id="25" w:name="_Toc531408822"/>
      <w:bookmarkStart w:id="26" w:name="_Toc531408703"/>
      <w:bookmarkStart w:id="27" w:name="_Toc430840539"/>
      <w:bookmarkStart w:id="28" w:name="_Toc532022405"/>
      <w:bookmarkStart w:id="29" w:name="_Toc430545309"/>
      <w:r>
        <w:rPr>
          <w:rFonts w:hint="eastAsia" w:ascii="仿宋_GB2312" w:hAnsi="仿宋" w:eastAsia="仿宋_GB2312"/>
          <w:szCs w:val="32"/>
        </w:rPr>
        <w:t>“十四五”时期是全面建成小康社会之后，乘势而上开启全面建设社会主义现代化新征程的第一个五年。为促进随州市经济发展，提高全市矿产资源保障能力，依据《随州市国民经济和社会发展第十四个五年规划和2035年远景目标纲要》《湖北省矿产资源总体规划（2021—2025年）》，按照《矿产资源规划编制实施办法》《湖北省市县级矿产资源总体规(2021—2025年)编制指南》《市县级矿产资源总体规划编制要点》等要求，结合随州市矿产资源发展现状，编制完成《随州市矿产资源总体规划（2021—2025年）》（以下简称《规划》）。</w:t>
      </w:r>
    </w:p>
    <w:p>
      <w:pPr>
        <w:spacing w:line="240" w:lineRule="auto"/>
        <w:ind w:firstLine="632"/>
        <w:jc w:val="both"/>
        <w:rPr>
          <w:rFonts w:ascii="仿宋_GB2312" w:hAnsi="仿宋" w:eastAsia="仿宋_GB2312"/>
          <w:szCs w:val="32"/>
        </w:rPr>
      </w:pPr>
      <w:r>
        <w:rPr>
          <w:rFonts w:hint="eastAsia" w:ascii="仿宋_GB2312" w:hAnsi="仿宋" w:eastAsia="仿宋_GB2312"/>
          <w:szCs w:val="32"/>
        </w:rPr>
        <w:t>《规划》对随州市各类矿产资源勘查、开发利用与保护作出全面部署，协调解决资源保障、配置、综合利用、管理和矿区生态保护等重大问题，明确布局安排和准入要求，引导资源合理配置，推进矿业发展，为依法审批和监督管理矿产资源勘查和开发利用活动提供依据。涉及到矿产资源开发利用活动的相关行业规划应与本《规划》进行衔接。</w:t>
      </w:r>
    </w:p>
    <w:p>
      <w:pPr>
        <w:spacing w:line="240" w:lineRule="auto"/>
        <w:ind w:firstLine="632"/>
        <w:jc w:val="both"/>
        <w:rPr>
          <w:rFonts w:ascii="仿宋_GB2312" w:hAnsi="仿宋" w:eastAsia="仿宋_GB2312"/>
          <w:szCs w:val="32"/>
        </w:rPr>
      </w:pPr>
      <w:r>
        <w:rPr>
          <w:rFonts w:hint="eastAsia" w:ascii="仿宋_GB2312" w:hAnsi="仿宋" w:eastAsia="仿宋_GB2312"/>
          <w:szCs w:val="32"/>
        </w:rPr>
        <w:t>《规划》以2020年为基期，目标年为2025年，展望到2035年。</w:t>
      </w:r>
      <w:r>
        <w:rPr>
          <w:rFonts w:hint="eastAsia" w:ascii="宋体" w:hAnsi="宋体" w:eastAsia="宋体" w:cs="宋体"/>
          <w:szCs w:val="32"/>
        </w:rPr>
        <w:t> </w:t>
      </w:r>
    </w:p>
    <w:p>
      <w:pPr>
        <w:spacing w:line="240" w:lineRule="auto"/>
        <w:ind w:firstLine="632"/>
        <w:jc w:val="both"/>
        <w:rPr>
          <w:rFonts w:ascii="仿宋_GB2312" w:hAnsi="仿宋" w:eastAsia="仿宋_GB2312"/>
          <w:szCs w:val="32"/>
        </w:rPr>
      </w:pPr>
      <w:r>
        <w:rPr>
          <w:rFonts w:hint="eastAsia" w:ascii="仿宋_GB2312" w:hAnsi="仿宋" w:eastAsia="仿宋_GB2312"/>
          <w:szCs w:val="32"/>
        </w:rPr>
        <w:t>《规划》适用范围为随州市所辖行政区域。</w:t>
      </w:r>
    </w:p>
    <w:p>
      <w:pPr>
        <w:pStyle w:val="2"/>
        <w:ind w:left="632" w:firstLine="632"/>
      </w:pPr>
    </w:p>
    <w:p>
      <w:pPr>
        <w:pStyle w:val="4"/>
        <w:spacing w:before="0" w:after="0" w:line="360" w:lineRule="auto"/>
        <w:ind w:firstLine="632" w:firstLineChars="200"/>
        <w:rPr>
          <w:rFonts w:ascii="黑体" w:hAnsi="黑体"/>
          <w:sz w:val="32"/>
        </w:rPr>
      </w:pPr>
      <w:bookmarkStart w:id="30" w:name="_Toc103951211"/>
      <w:r>
        <w:rPr>
          <w:rFonts w:hint="eastAsia" w:ascii="黑体" w:hAnsi="黑体"/>
          <w:sz w:val="32"/>
        </w:rPr>
        <w:t>一、矿产资源现状与形势</w:t>
      </w:r>
      <w:bookmarkEnd w:id="19"/>
      <w:bookmarkEnd w:id="20"/>
      <w:bookmarkEnd w:id="21"/>
      <w:bookmarkEnd w:id="22"/>
      <w:bookmarkEnd w:id="23"/>
      <w:bookmarkEnd w:id="24"/>
      <w:bookmarkEnd w:id="25"/>
      <w:bookmarkEnd w:id="26"/>
      <w:bookmarkEnd w:id="27"/>
      <w:bookmarkEnd w:id="28"/>
      <w:bookmarkEnd w:id="29"/>
      <w:bookmarkEnd w:id="30"/>
      <w:bookmarkStart w:id="31" w:name="_Toc253051322"/>
      <w:bookmarkStart w:id="32" w:name="_Toc190809646"/>
    </w:p>
    <w:p>
      <w:pPr>
        <w:pStyle w:val="5"/>
        <w:spacing w:before="0" w:after="0" w:line="360" w:lineRule="auto"/>
        <w:ind w:left="0" w:firstLine="632" w:firstLineChars="200"/>
        <w:rPr>
          <w:rFonts w:ascii="黑体" w:hAnsi="黑体"/>
          <w:sz w:val="32"/>
          <w:szCs w:val="44"/>
        </w:rPr>
      </w:pPr>
      <w:bookmarkStart w:id="33" w:name="_Toc103951212"/>
      <w:r>
        <w:rPr>
          <w:rFonts w:hint="eastAsia" w:ascii="楷体_GB2312" w:hAnsi="黑体" w:eastAsia="楷体_GB2312"/>
          <w:sz w:val="32"/>
          <w:szCs w:val="36"/>
        </w:rPr>
        <w:t>（一）经济社会概况</w:t>
      </w:r>
      <w:bookmarkEnd w:id="31"/>
      <w:bookmarkEnd w:id="33"/>
      <w:bookmarkStart w:id="34" w:name="_Toc253051323"/>
    </w:p>
    <w:p>
      <w:pPr>
        <w:spacing w:line="240" w:lineRule="auto"/>
        <w:ind w:firstLine="632"/>
        <w:jc w:val="both"/>
        <w:rPr>
          <w:rFonts w:ascii="仿宋_GB2312" w:hAnsi="仿宋" w:eastAsia="仿宋_GB2312"/>
          <w:szCs w:val="28"/>
        </w:rPr>
      </w:pPr>
      <w:r>
        <w:rPr>
          <w:rFonts w:hint="eastAsia" w:ascii="仿宋_GB2312" w:hAnsi="仿宋" w:eastAsia="仿宋_GB2312"/>
          <w:szCs w:val="28"/>
        </w:rPr>
        <w:t>随州市位于湖北省北部，东经112°43′</w:t>
      </w:r>
      <w:r>
        <w:rPr>
          <w:rFonts w:hint="eastAsia" w:ascii="仿宋_GB2312" w:hAnsi="宋体" w:eastAsia="仿宋_GB2312"/>
          <w:color w:val="464646"/>
          <w:szCs w:val="28"/>
        </w:rPr>
        <w:t>～</w:t>
      </w:r>
      <w:r>
        <w:rPr>
          <w:rFonts w:hint="eastAsia" w:ascii="仿宋_GB2312" w:hAnsi="仿宋" w:eastAsia="仿宋_GB2312"/>
          <w:szCs w:val="28"/>
        </w:rPr>
        <w:t>113°46′，北纬31°19′</w:t>
      </w:r>
      <w:r>
        <w:rPr>
          <w:rFonts w:hint="eastAsia" w:ascii="仿宋_GB2312" w:hAnsi="宋体" w:eastAsia="仿宋_GB2312"/>
          <w:color w:val="464646"/>
          <w:szCs w:val="28"/>
        </w:rPr>
        <w:t>～</w:t>
      </w:r>
      <w:r>
        <w:rPr>
          <w:rFonts w:hint="eastAsia" w:ascii="仿宋_GB2312" w:hAnsi="仿宋" w:eastAsia="仿宋_GB2312"/>
          <w:szCs w:val="28"/>
        </w:rPr>
        <w:t>32°26′。地处长江流域和淮河流域的交汇地带，东承武汉，西接襄阳，北临信阳，南达荆州，居“荆豫要冲”，扼“汉襄咽喉”，是湖北省对外开放的“北大门”，国家实施西部大开发战略由东向西的重要接力站和中转站，素有“鄂北明珠”之称。全市南北长约130公里，东西宽约105公里，国土面积9636平方千米，常住人口为204.8万（据随州市第七次全国人口普查）。下辖曾都区、随县、广水市、随州经济开发区、大洪山风景管理区。</w:t>
      </w:r>
    </w:p>
    <w:p>
      <w:pPr>
        <w:spacing w:line="240" w:lineRule="auto"/>
        <w:ind w:firstLine="645" w:firstLineChars="0"/>
        <w:jc w:val="both"/>
        <w:rPr>
          <w:rFonts w:ascii="仿宋_GB2312" w:hAnsi="仿宋" w:eastAsia="仿宋_GB2312"/>
          <w:szCs w:val="28"/>
        </w:rPr>
      </w:pPr>
      <w:r>
        <w:rPr>
          <w:rFonts w:hint="eastAsia" w:ascii="仿宋_GB2312" w:hAnsi="仿宋" w:eastAsia="仿宋_GB2312"/>
          <w:szCs w:val="28"/>
        </w:rPr>
        <w:t>随州市区位优势明显，战略地位突出，近年来经济发展平稳，汉十高铁、鄂北风电等一大批项目落户随州市，为随州市经济腾飞注入了活力，同时随州市大力促进新兴城镇化建设，资源需求进一步加大，矿业开发地位日益凸显。进入“十四五”新发展阶段，随州市积极介入长江经济带、汉江生态经济带、淮河生态经济带、大别山革命老区振兴发展战略规划，主动承接全省“一主引领、两翼驱动、全域协同”区域发展布局，全面融入“襄十随神”城市圈建设，进一步擦亮“四张名片”，构建特色引领、梯次发展的“2236”产业集群，切实扛起争当“四个示范”使命任务，奋力打造全省特色增长极，奋力谱写“汉襄肱骨、神韵随州”建设新篇章，为全面建设社会主义现代化奠定更加坚实基础。</w:t>
      </w:r>
    </w:p>
    <w:p>
      <w:pPr>
        <w:pStyle w:val="5"/>
        <w:spacing w:before="0" w:after="0" w:line="360" w:lineRule="auto"/>
        <w:ind w:left="0" w:firstLine="632" w:firstLineChars="200"/>
        <w:rPr>
          <w:rFonts w:ascii="楷体_GB2312" w:hAnsi="黑体" w:eastAsia="楷体_GB2312"/>
          <w:sz w:val="32"/>
          <w:szCs w:val="36"/>
        </w:rPr>
      </w:pPr>
      <w:bookmarkStart w:id="35" w:name="_Toc103951213"/>
      <w:r>
        <w:rPr>
          <w:rFonts w:hint="eastAsia" w:ascii="楷体_GB2312" w:hAnsi="黑体" w:eastAsia="楷体_GB2312"/>
          <w:sz w:val="32"/>
          <w:szCs w:val="36"/>
        </w:rPr>
        <w:t>（二）矿产资源特点</w:t>
      </w:r>
      <w:bookmarkEnd w:id="32"/>
      <w:bookmarkEnd w:id="34"/>
      <w:bookmarkEnd w:id="35"/>
      <w:bookmarkStart w:id="36" w:name="_Toc253051324"/>
      <w:bookmarkStart w:id="37" w:name="_Toc190809647"/>
      <w:bookmarkStart w:id="38" w:name="_Toc52959370"/>
      <w:bookmarkStart w:id="39" w:name="_Toc52958527"/>
    </w:p>
    <w:p>
      <w:pPr>
        <w:spacing w:line="240" w:lineRule="auto"/>
        <w:ind w:firstLine="634"/>
        <w:jc w:val="both"/>
        <w:rPr>
          <w:rFonts w:ascii="仿宋_GB2312" w:hAnsi="仿宋" w:eastAsia="仿宋_GB2312"/>
          <w:b/>
          <w:szCs w:val="28"/>
        </w:rPr>
      </w:pPr>
      <w:r>
        <w:rPr>
          <w:rFonts w:hint="eastAsia" w:ascii="仿宋_GB2312" w:hAnsi="仿宋" w:eastAsia="仿宋_GB2312"/>
          <w:b/>
          <w:szCs w:val="28"/>
        </w:rPr>
        <w:t>1.矿产资源种类较多</w:t>
      </w:r>
    </w:p>
    <w:p>
      <w:pPr>
        <w:spacing w:line="240" w:lineRule="auto"/>
        <w:ind w:firstLine="632"/>
        <w:jc w:val="both"/>
        <w:rPr>
          <w:rFonts w:ascii="仿宋_GB2312" w:hAnsi="仿宋" w:eastAsia="仿宋_GB2312"/>
          <w:szCs w:val="28"/>
        </w:rPr>
      </w:pPr>
      <w:r>
        <w:rPr>
          <w:rFonts w:hint="eastAsia" w:ascii="仿宋_GB2312" w:hAnsi="仿宋" w:eastAsia="仿宋_GB2312"/>
          <w:szCs w:val="28"/>
        </w:rPr>
        <w:t>随州市矿产资源种类较多，截至2020年12月底，已发现各类矿产（含亚种）62种，其中能源矿产3种：煤、石煤、地热，金属矿产21种：铁、锰、钒、钛、铜、铅、锌、铝土矿、镍、钼、镁、金、银、铌、钽、铍、锂、锆、铷、铯、钇，非金属矿产37种：金刚石、石墨、磷、硫铁矿、水晶、滑石、石棉、云母、长石、蛭石、重晶石、普通萤石、水泥用灰岩、建筑石料用灰岩、制灰用灰岩、冶金用白云岩、建筑用白云岩、石英岩、建筑用砂、玻璃用脉石英、砖瓦用页岩、高岭土、陶瓷土、累托石粘土、砖瓦用粘土、水泥配料用粘土、化肥用蛇纹岩、玄武岩、建筑用辉绿岩、建筑用花岗岩、饰面用花岗岩、浮石、霞石正长岩、饰面用大理岩、建筑用大理岩、片麻岩、角闪岩，水气矿产1种：矿泉水。</w:t>
      </w:r>
    </w:p>
    <w:p>
      <w:pPr>
        <w:spacing w:line="240" w:lineRule="auto"/>
        <w:ind w:firstLine="632"/>
        <w:jc w:val="both"/>
        <w:rPr>
          <w:rFonts w:ascii="仿宋_GB2312" w:hAnsi="仿宋" w:eastAsia="仿宋_GB2312"/>
          <w:szCs w:val="28"/>
        </w:rPr>
      </w:pPr>
      <w:r>
        <w:rPr>
          <w:rFonts w:hint="eastAsia" w:ascii="仿宋_GB2312" w:hAnsi="仿宋" w:eastAsia="仿宋_GB2312"/>
          <w:szCs w:val="28"/>
        </w:rPr>
        <w:t>全市已查明资源储量的矿种（含亚种）共37种，其中能源矿产2种，金属矿产11种，非金属矿产23种，水气矿产1种，其中列入《湖北省矿产资源储量表（截至2020年底）》的矿产有16种，矿产地37处。</w:t>
      </w:r>
    </w:p>
    <w:p>
      <w:pPr>
        <w:spacing w:line="240" w:lineRule="auto"/>
        <w:ind w:firstLine="634"/>
        <w:jc w:val="both"/>
        <w:rPr>
          <w:rFonts w:ascii="仿宋_GB2312" w:hAnsi="仿宋" w:eastAsia="仿宋_GB2312"/>
          <w:b/>
          <w:szCs w:val="28"/>
        </w:rPr>
      </w:pPr>
      <w:r>
        <w:rPr>
          <w:rFonts w:hint="eastAsia" w:ascii="仿宋_GB2312" w:hAnsi="仿宋" w:eastAsia="仿宋_GB2312"/>
          <w:b/>
          <w:szCs w:val="28"/>
        </w:rPr>
        <w:t>2.非金属矿相对丰富，能源矿产较少</w:t>
      </w:r>
    </w:p>
    <w:p>
      <w:pPr>
        <w:spacing w:line="240" w:lineRule="auto"/>
        <w:ind w:firstLine="632"/>
        <w:jc w:val="both"/>
        <w:rPr>
          <w:rFonts w:ascii="仿宋_GB2312" w:hAnsi="仿宋" w:eastAsia="仿宋_GB2312"/>
          <w:szCs w:val="28"/>
        </w:rPr>
      </w:pPr>
      <w:r>
        <w:rPr>
          <w:rFonts w:hint="eastAsia" w:ascii="仿宋_GB2312" w:hAnsi="仿宋" w:eastAsia="仿宋_GB2312"/>
          <w:szCs w:val="28"/>
        </w:rPr>
        <w:t>随州市长石、重稀土矿、饰面用花岗岩、重晶石、普通萤石资源量规模在湖北省排名靠前，非金属矿相对丰富，长石资源量为湖北省第一，重晶石、普通萤石为湖北省第二，片麻岩、建筑用辉绿岩、建筑用花岗岩、建筑用大理岩等矿产均有较大的资源量，开发利用潜力较大；金属矿产主要是金矿 (岩金)、银矿（共、伴生矿）、铁矿、钼矿、铜矿等，资源量规模较小；能源矿产较少。</w:t>
      </w:r>
      <w:r>
        <w:rPr>
          <w:rFonts w:hint="eastAsia" w:ascii="仿宋_GB2312" w:eastAsia="仿宋_GB2312"/>
          <w:szCs w:val="28"/>
        </w:rPr>
        <w:t> </w:t>
      </w:r>
    </w:p>
    <w:p>
      <w:pPr>
        <w:spacing w:line="240" w:lineRule="auto"/>
        <w:ind w:firstLine="634"/>
        <w:jc w:val="both"/>
        <w:rPr>
          <w:rFonts w:ascii="仿宋_GB2312" w:hAnsi="仿宋" w:eastAsia="仿宋_GB2312"/>
          <w:b/>
          <w:szCs w:val="28"/>
        </w:rPr>
      </w:pPr>
      <w:r>
        <w:rPr>
          <w:rFonts w:hint="eastAsia" w:ascii="仿宋_GB2312" w:hAnsi="仿宋" w:eastAsia="仿宋_GB2312"/>
          <w:b/>
          <w:szCs w:val="28"/>
        </w:rPr>
        <w:t>3.小型规模矿床居多，单一矿产多</w:t>
      </w:r>
    </w:p>
    <w:p>
      <w:pPr>
        <w:spacing w:line="240" w:lineRule="auto"/>
        <w:ind w:firstLine="555" w:firstLineChars="0"/>
        <w:jc w:val="both"/>
        <w:rPr>
          <w:rFonts w:ascii="仿宋_GB2312" w:hAnsi="黑体" w:eastAsia="仿宋_GB2312"/>
          <w:szCs w:val="28"/>
        </w:rPr>
      </w:pPr>
      <w:r>
        <w:rPr>
          <w:rFonts w:hint="eastAsia" w:ascii="仿宋_GB2312" w:hAnsi="仿宋" w:eastAsia="仿宋_GB2312"/>
          <w:szCs w:val="28"/>
        </w:rPr>
        <w:t>随州市经勘查发现的矿床177处，其中大型矿床8处，中型15处，小型矿床154处，大中型矿床占矿床总数的13%，小型矿床占比87%，单一矿产矿床为166处，占比94%，共伴生矿床较少。</w:t>
      </w:r>
    </w:p>
    <w:p>
      <w:pPr>
        <w:spacing w:line="240" w:lineRule="auto"/>
        <w:ind w:firstLine="634"/>
        <w:jc w:val="both"/>
        <w:rPr>
          <w:rFonts w:ascii="仿宋_GB2312" w:hAnsi="仿宋" w:eastAsia="仿宋_GB2312"/>
          <w:b/>
          <w:szCs w:val="28"/>
        </w:rPr>
      </w:pPr>
      <w:r>
        <w:rPr>
          <w:rFonts w:hint="eastAsia" w:ascii="仿宋_GB2312" w:hAnsi="仿宋" w:eastAsia="仿宋_GB2312"/>
          <w:b/>
          <w:szCs w:val="28"/>
        </w:rPr>
        <w:t>4.矿产资源分布地域特色明显</w:t>
      </w:r>
    </w:p>
    <w:p>
      <w:pPr>
        <w:spacing w:line="240" w:lineRule="auto"/>
        <w:ind w:firstLine="555" w:firstLineChars="0"/>
        <w:jc w:val="both"/>
        <w:rPr>
          <w:rFonts w:ascii="仿宋_GB2312" w:hAnsi="仿宋" w:eastAsia="仿宋_GB2312"/>
          <w:szCs w:val="28"/>
        </w:rPr>
      </w:pPr>
      <w:r>
        <w:rPr>
          <w:rFonts w:hint="eastAsia" w:ascii="仿宋_GB2312" w:hAnsi="仿宋" w:eastAsia="仿宋_GB2312"/>
          <w:szCs w:val="28"/>
        </w:rPr>
        <w:t>随州市矿产资源分布相对集中，按行政界线划分：随州市大部分矿产分布在随县；广水市分布有重稀土矿、萤石矿、石墨矿等矿产；曾都区以建筑石料矿产为主。按矿种划分：金矿主要集中在随县北部万和、小林一带；重晶石集中在何店-洛阳-柳林一带；饰面用花岗石主要集中在吴山-万和一带；铁矿主要分布在随县北部的淮河镇、随县西部的洪山镇、随县南部的三里岗镇和柳林镇；长石主要分布在吴山镇、万和镇、唐县镇；普通萤石主要分布在随县的殷店镇和广水的吴店镇一带；磷矿分别集中在西部的长岗镇和东部的广水。建筑石料类矿产分布相对分散。</w:t>
      </w:r>
      <w:bookmarkEnd w:id="36"/>
      <w:bookmarkStart w:id="40" w:name="_Toc253051325"/>
    </w:p>
    <w:p>
      <w:pPr>
        <w:pStyle w:val="5"/>
        <w:spacing w:before="0" w:after="0" w:line="360" w:lineRule="auto"/>
        <w:ind w:left="0" w:firstLine="632" w:firstLineChars="200"/>
        <w:rPr>
          <w:rFonts w:ascii="楷体_GB2312" w:hAnsi="黑体" w:eastAsia="楷体_GB2312"/>
          <w:sz w:val="32"/>
          <w:szCs w:val="36"/>
        </w:rPr>
      </w:pPr>
      <w:bookmarkStart w:id="41" w:name="_Toc103951214"/>
      <w:r>
        <w:rPr>
          <w:rFonts w:hint="eastAsia" w:ascii="楷体_GB2312" w:hAnsi="黑体" w:eastAsia="楷体_GB2312"/>
          <w:sz w:val="32"/>
          <w:szCs w:val="36"/>
        </w:rPr>
        <w:t>（三）矿业发展现状</w:t>
      </w:r>
      <w:bookmarkEnd w:id="41"/>
    </w:p>
    <w:bookmarkEnd w:id="37"/>
    <w:bookmarkEnd w:id="38"/>
    <w:bookmarkEnd w:id="39"/>
    <w:bookmarkEnd w:id="40"/>
    <w:p>
      <w:pPr>
        <w:spacing w:line="240" w:lineRule="auto"/>
        <w:ind w:firstLine="634"/>
        <w:jc w:val="both"/>
        <w:rPr>
          <w:rFonts w:ascii="仿宋_GB2312" w:hAnsi="仿宋" w:eastAsia="仿宋_GB2312"/>
          <w:b/>
          <w:szCs w:val="28"/>
        </w:rPr>
      </w:pPr>
      <w:bookmarkStart w:id="42" w:name="_Toc190809648"/>
      <w:bookmarkStart w:id="43" w:name="_Toc253051326"/>
      <w:bookmarkStart w:id="44" w:name="_Toc52958528"/>
      <w:bookmarkStart w:id="45" w:name="_Toc52959371"/>
      <w:r>
        <w:rPr>
          <w:rFonts w:hint="eastAsia" w:ascii="仿宋_GB2312" w:hAnsi="仿宋" w:eastAsia="仿宋_GB2312"/>
          <w:b/>
          <w:szCs w:val="28"/>
        </w:rPr>
        <w:t>1.矿产资源调查评价及勘查现状</w:t>
      </w:r>
    </w:p>
    <w:p>
      <w:pPr>
        <w:pStyle w:val="2"/>
        <w:spacing w:after="0" w:line="240" w:lineRule="auto"/>
        <w:ind w:left="0" w:leftChars="0" w:firstLine="632"/>
        <w:jc w:val="both"/>
        <w:rPr>
          <w:rFonts w:ascii="仿宋_GB2312" w:eastAsia="仿宋_GB2312"/>
          <w:szCs w:val="28"/>
        </w:rPr>
      </w:pPr>
      <w:r>
        <w:rPr>
          <w:rFonts w:hint="eastAsia" w:ascii="仿宋_GB2312" w:hAnsi="仿宋" w:eastAsia="仿宋_GB2312"/>
          <w:szCs w:val="28"/>
        </w:rPr>
        <w:t>随州市域内基础地质工作扎实，矿产调查范围覆盖部分区域，矿产勘查工作程度相对较低。</w:t>
      </w:r>
    </w:p>
    <w:p>
      <w:pPr>
        <w:spacing w:line="240" w:lineRule="auto"/>
        <w:ind w:firstLine="632"/>
        <w:jc w:val="both"/>
        <w:rPr>
          <w:rFonts w:ascii="仿宋_GB2312" w:hAnsi="仿宋" w:eastAsia="仿宋_GB2312"/>
          <w:szCs w:val="28"/>
        </w:rPr>
      </w:pPr>
      <w:r>
        <w:rPr>
          <w:rFonts w:hint="eastAsia" w:ascii="仿宋_GB2312" w:hAnsi="仿宋" w:eastAsia="仿宋_GB2312"/>
          <w:szCs w:val="28"/>
        </w:rPr>
        <w:t>1:20万区域地质测量工作范围已经覆盖随州市全部政区范围；1:5万区域地质调查、重砂和土壤金属量测量基本涵盖随州市全境，为全市范围内地质矿产调查评价工作打下了坚实基础。</w:t>
      </w:r>
    </w:p>
    <w:p>
      <w:pPr>
        <w:spacing w:line="240" w:lineRule="auto"/>
        <w:ind w:firstLine="634"/>
        <w:jc w:val="both"/>
        <w:rPr>
          <w:rFonts w:ascii="仿宋_GB2312" w:hAnsi="仿宋" w:eastAsia="仿宋_GB2312"/>
          <w:b/>
          <w:szCs w:val="28"/>
        </w:rPr>
      </w:pPr>
      <w:r>
        <w:rPr>
          <w:rFonts w:hint="eastAsia" w:ascii="仿宋_GB2312" w:hAnsi="仿宋" w:eastAsia="仿宋_GB2312"/>
          <w:b/>
          <w:szCs w:val="28"/>
        </w:rPr>
        <w:t>2.矿产资源开发利用现状</w:t>
      </w:r>
    </w:p>
    <w:p>
      <w:pPr>
        <w:spacing w:line="240" w:lineRule="auto"/>
        <w:ind w:firstLine="632"/>
        <w:jc w:val="both"/>
        <w:rPr>
          <w:rFonts w:ascii="仿宋_GB2312" w:hAnsi="仿宋" w:eastAsia="仿宋_GB2312"/>
          <w:szCs w:val="28"/>
        </w:rPr>
      </w:pPr>
      <w:r>
        <w:rPr>
          <w:rFonts w:hint="eastAsia" w:ascii="仿宋_GB2312" w:hAnsi="仿宋" w:eastAsia="仿宋_GB2312"/>
          <w:szCs w:val="28"/>
        </w:rPr>
        <w:t>截至2020年底，全市矿山涉及开发矿种共计25种。其中金属矿产7种，分别为金、银、铁、铜、钼、铝土矿、钒；非金属矿产18种，分别为长石、建筑石料用灰岩、建筑用白云岩、建筑用大理岩、建筑用花岗岩、建筑用辉绿岩、角闪岩、磷、玻璃用脉石英、片麻岩、普通萤石、饰面用花岗岩、水泥用灰岩、玄武岩、制灰用灰岩、蛭石、重晶石、砖瓦用页岩。</w:t>
      </w:r>
    </w:p>
    <w:p>
      <w:pPr>
        <w:pStyle w:val="5"/>
        <w:spacing w:before="0" w:after="0" w:line="360" w:lineRule="auto"/>
        <w:ind w:left="0" w:firstLine="632" w:firstLineChars="200"/>
        <w:rPr>
          <w:rFonts w:ascii="楷体_GB2312" w:hAnsi="黑体" w:eastAsia="楷体_GB2312"/>
          <w:sz w:val="32"/>
          <w:szCs w:val="36"/>
        </w:rPr>
      </w:pPr>
      <w:bookmarkStart w:id="46" w:name="_Toc103951215"/>
      <w:r>
        <w:rPr>
          <w:rFonts w:hint="eastAsia" w:ascii="楷体_GB2312" w:hAnsi="黑体" w:eastAsia="楷体_GB2312"/>
          <w:sz w:val="32"/>
          <w:szCs w:val="36"/>
        </w:rPr>
        <w:t>（四）上轮规划实施评估</w:t>
      </w:r>
      <w:bookmarkEnd w:id="46"/>
    </w:p>
    <w:p>
      <w:pPr>
        <w:spacing w:line="240" w:lineRule="auto"/>
        <w:ind w:firstLine="632"/>
        <w:jc w:val="both"/>
        <w:rPr>
          <w:rFonts w:ascii="仿宋_GB2312" w:hAnsi="仿宋" w:eastAsia="仿宋_GB2312"/>
          <w:szCs w:val="32"/>
        </w:rPr>
      </w:pPr>
      <w:r>
        <w:rPr>
          <w:rFonts w:hint="eastAsia" w:ascii="仿宋_GB2312" w:hAnsi="仿宋" w:eastAsia="仿宋_GB2312"/>
          <w:szCs w:val="32"/>
        </w:rPr>
        <w:t>第三轮矿产资源规划实施以来，基础性、公益性地质调查成效明显，矿产资源勘查取得进展，重要矿产资源持续供应能力有所加强；矿产开发利用结构和布局不断优化，整顿和规范矿产资源勘查开采秩序取得积极成效，资源节约与综合利用水平显著提升；矿山地质环境保护与治理恢复、矿区土地复垦力度不断增强，绿色矿业发展模式初见雏形，为全市经济社会发展起到了重要的支撑和保障作用。</w:t>
      </w:r>
    </w:p>
    <w:bookmarkEnd w:id="42"/>
    <w:bookmarkEnd w:id="43"/>
    <w:bookmarkEnd w:id="44"/>
    <w:bookmarkEnd w:id="45"/>
    <w:p>
      <w:pPr>
        <w:pStyle w:val="5"/>
        <w:spacing w:before="0" w:after="0" w:line="360" w:lineRule="auto"/>
        <w:ind w:left="0" w:firstLine="632" w:firstLineChars="200"/>
        <w:rPr>
          <w:rFonts w:ascii="楷体_GB2312" w:hAnsi="黑体" w:eastAsia="楷体_GB2312"/>
          <w:sz w:val="32"/>
          <w:szCs w:val="36"/>
        </w:rPr>
      </w:pPr>
      <w:bookmarkStart w:id="47" w:name="_Toc52958531"/>
      <w:bookmarkStart w:id="48" w:name="_Toc52959374"/>
      <w:bookmarkStart w:id="49" w:name="_Toc190809652"/>
      <w:bookmarkStart w:id="50" w:name="_Toc253051330"/>
      <w:bookmarkStart w:id="51" w:name="_Toc103951216"/>
      <w:r>
        <w:rPr>
          <w:rFonts w:hint="eastAsia" w:ascii="楷体_GB2312" w:hAnsi="黑体" w:eastAsia="楷体_GB2312"/>
          <w:sz w:val="32"/>
          <w:szCs w:val="36"/>
        </w:rPr>
        <w:t>（五）矿产资源</w:t>
      </w:r>
      <w:bookmarkEnd w:id="47"/>
      <w:bookmarkEnd w:id="48"/>
      <w:bookmarkEnd w:id="49"/>
      <w:bookmarkEnd w:id="50"/>
      <w:r>
        <w:rPr>
          <w:rFonts w:hint="eastAsia" w:ascii="楷体_GB2312" w:hAnsi="黑体" w:eastAsia="楷体_GB2312"/>
          <w:sz w:val="32"/>
          <w:szCs w:val="36"/>
        </w:rPr>
        <w:t>面临形势与要求</w:t>
      </w:r>
      <w:bookmarkEnd w:id="51"/>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当前，虽然国际国内形势错综复杂，国内经济下行压力加大，全球新冠肺炎疫情大流行带来巨大挑战，区域发展竞争日趋激烈，发展的不确定性增多、挑战性增强。“十四五”时期，随州市进入新发展阶段，处于战略机遇叠加期、政策红利释放期、发展布局优化期、积势蓄能迸发期、市域治理提升期，随州市资源勘查开发与矿业发展面临的新形势、新要求和新挑战，但是机遇大于挑战，前景十分广阔。</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w:t>
      </w:r>
      <w:r>
        <w:rPr>
          <w:rFonts w:hint="eastAsia"/>
        </w:rPr>
        <w:t xml:space="preserve"> </w:t>
      </w:r>
      <w:r>
        <w:rPr>
          <w:rFonts w:hint="eastAsia" w:ascii="仿宋_GB2312" w:hAnsi="仿宋" w:eastAsia="仿宋_GB2312"/>
          <w:b/>
          <w:szCs w:val="32"/>
        </w:rPr>
        <w:t>经济社会发展对矿产资源保障能力提出新挑战</w:t>
      </w:r>
    </w:p>
    <w:p>
      <w:pPr>
        <w:spacing w:line="240" w:lineRule="auto"/>
        <w:ind w:firstLine="632"/>
        <w:jc w:val="both"/>
        <w:rPr>
          <w:rFonts w:ascii="仿宋_GB2312" w:hAnsi="仿宋" w:eastAsia="仿宋_GB2312"/>
          <w:szCs w:val="32"/>
        </w:rPr>
      </w:pPr>
      <w:r>
        <w:rPr>
          <w:rFonts w:hint="eastAsia" w:ascii="仿宋_GB2312" w:hAnsi="仿宋" w:eastAsia="仿宋_GB2312"/>
          <w:szCs w:val="32"/>
        </w:rPr>
        <w:t>世界百年未有之大变局进入加速演变期，新一轮科技革命和产业变革深入发展，叠加全球新冠肺炎疫情大流行，经济全球化遭遇逆流，国际政治格局复杂多变，全球产业合作形式在国际分工合作的同时向本土化拓展转变，矿产资源产业链供应链和矿产品自由贸易环境更加复杂，我国是矿产资源消费大国，保障矿产资源稳定、安全供应是当下面临的严峻挑战。特别是近年来随着经济高速发展，对各类矿产资源需求进一步加大。“十四五”时期是随州市打造“2236”产业集群的关键时期，矿产资源作为支撑产业链发展关键要素，加大矿产资源供应能力，已经刻不容缓。</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（1）金：金矿是随州市相对有潜力的矿种，常伴生银，主要分布在随县北部万和、殷店镇、小林镇、淮河镇、草店镇，此外还有曾都的九棵树和广水的龙兴沟和将军寨。</w:t>
      </w:r>
    </w:p>
    <w:p>
      <w:pPr>
        <w:spacing w:line="240" w:lineRule="auto"/>
        <w:ind w:firstLine="632"/>
        <w:jc w:val="both"/>
        <w:rPr>
          <w:rFonts w:ascii="仿宋_GB2312" w:hAnsi="仿宋" w:eastAsia="仿宋_GB2312" w:cs="仿宋"/>
          <w:szCs w:val="32"/>
        </w:rPr>
      </w:pPr>
      <w:r>
        <w:rPr>
          <w:rFonts w:hint="eastAsia" w:ascii="仿宋_GB2312" w:hAnsi="仿宋" w:eastAsia="仿宋_GB2312" w:cs="仿宋"/>
          <w:szCs w:val="32"/>
        </w:rPr>
        <w:t>（2）铁矿：</w:t>
      </w:r>
      <w:r>
        <w:rPr>
          <w:rFonts w:hint="eastAsia" w:ascii="仿宋_GB2312" w:hAnsi="仿宋" w:eastAsia="仿宋_GB2312"/>
          <w:szCs w:val="32"/>
        </w:rPr>
        <w:t>主要分布于随县北部，规模较小，随着铁矿石价格逐步回暖，目前已逐步恢复生产。规划期内如铁矿石价格继续上扬，需求增加，达到准入标准，则以恢复现有铁矿山产量为主要目标。</w:t>
      </w:r>
    </w:p>
    <w:p>
      <w:pPr>
        <w:spacing w:line="240" w:lineRule="auto"/>
        <w:ind w:firstLine="632"/>
        <w:jc w:val="both"/>
        <w:rPr>
          <w:rFonts w:ascii="仿宋_GB2312" w:hAnsi="仿宋" w:eastAsia="仿宋_GB2312"/>
          <w:szCs w:val="32"/>
        </w:rPr>
      </w:pPr>
      <w:r>
        <w:rPr>
          <w:rFonts w:hint="eastAsia" w:ascii="仿宋_GB2312" w:hAnsi="仿宋" w:eastAsia="仿宋_GB2312" w:cs="仿宋"/>
          <w:szCs w:val="32"/>
        </w:rPr>
        <w:t>（3）普通萤石：</w:t>
      </w:r>
      <w:r>
        <w:rPr>
          <w:rFonts w:hint="eastAsia" w:ascii="仿宋_GB2312" w:hAnsi="仿宋" w:eastAsia="仿宋_GB2312"/>
          <w:szCs w:val="32"/>
        </w:rPr>
        <w:t>随州市普通萤石主要分布于随县的殷店镇和广水的吴店镇一带。规划期内重点关闭一批长期停采矿山，调整一批生产规模较小的矿山，鼓励矿山进行技改，延长矿山服务年限，提高选矿加工技术水平，充分利用粉碎矿和中低品位矿石，提高资源利用效率。</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4）地热、矿泉水：地热、矿泉水作为清洁矿产资源，绿色环保，推进地热、矿泉水综合开发利用，对于践行绿色发展理念，打造生态康养产业，建设生态宜居美丽随州具有重要意义，是推进城乡融合和乡村振兴、改善群众生活质量的有效途径。</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（5）饰面用花岗岩：</w:t>
      </w:r>
      <w:r>
        <w:rPr>
          <w:rFonts w:hint="eastAsia" w:ascii="仿宋_GB2312" w:hAnsi="仿宋" w:eastAsia="仿宋_GB2312"/>
          <w:szCs w:val="32"/>
        </w:rPr>
        <w:t>主要集中分布于随县万和、吴山一带，是随州市特色矿产，资源充足，且潜力巨大。随着社会需求的增大、绿色环保要求的逐渐达标，逐步释放产能。</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（6）重晶石：随州市曾都区洛阳店一带，是湖北省重要的重晶石成矿区，具有较大找矿潜力，通过新一轮勘查，重晶石资源储量将有较大幅度增长。</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（7）长石：</w:t>
      </w:r>
      <w:r>
        <w:rPr>
          <w:rFonts w:hint="eastAsia" w:ascii="仿宋_GB2312" w:hAnsi="仿宋" w:eastAsia="仿宋_GB2312"/>
          <w:szCs w:val="32"/>
        </w:rPr>
        <w:t>长石是随州市的特色矿种，主要产出于七尖峰岩体外围，分布于吴山镇北部、唐镇北端、万和镇西南部一带。近年来随州长石在市场占有率不断攀升，开采消耗较大，需不断投入勘查工作，提高开采利用效率。</w:t>
      </w:r>
    </w:p>
    <w:p>
      <w:pPr>
        <w:pStyle w:val="2"/>
        <w:spacing w:after="0" w:line="240" w:lineRule="auto"/>
        <w:ind w:left="0" w:leftChars="0" w:firstLine="632"/>
        <w:jc w:val="both"/>
      </w:pPr>
      <w:r>
        <w:rPr>
          <w:rFonts w:hint="eastAsia" w:ascii="仿宋_GB2312" w:hAnsi="仿宋" w:eastAsia="仿宋_GB2312" w:cs="仿宋"/>
          <w:szCs w:val="32"/>
        </w:rPr>
        <w:t>（8）建筑石料矿产：</w:t>
      </w:r>
      <w:r>
        <w:rPr>
          <w:rFonts w:hint="eastAsia" w:ascii="仿宋_GB2312" w:hAnsi="仿宋" w:eastAsia="仿宋_GB2312"/>
          <w:szCs w:val="32"/>
        </w:rPr>
        <w:t>基于随州市新型城镇化建设和涉及随州的铁路、公路等基础设施建设的需要，遵循稳中求进的方针，增加矿石产量；鼓励集约、规模化开采，加强饰面用花岗岩尾矿废渣资源利用，严格控制小规模分散开采矿山数量。</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w:t>
      </w:r>
      <w:r>
        <w:rPr>
          <w:rFonts w:hint="eastAsia"/>
        </w:rPr>
        <w:t xml:space="preserve"> </w:t>
      </w:r>
      <w:r>
        <w:rPr>
          <w:rFonts w:hint="eastAsia" w:ascii="仿宋_GB2312" w:hAnsi="仿宋" w:eastAsia="仿宋_GB2312"/>
          <w:b/>
          <w:szCs w:val="32"/>
        </w:rPr>
        <w:t>生态文明建设对加快矿业绿色转型提出新任务</w:t>
      </w:r>
    </w:p>
    <w:p>
      <w:pPr>
        <w:spacing w:line="240" w:lineRule="auto"/>
        <w:ind w:firstLine="632"/>
        <w:jc w:val="both"/>
        <w:rPr>
          <w:rFonts w:ascii="仿宋_GB2312" w:hAnsi="仿宋" w:eastAsia="仿宋_GB2312"/>
          <w:szCs w:val="32"/>
        </w:rPr>
      </w:pPr>
      <w:r>
        <w:rPr>
          <w:rFonts w:ascii="仿宋_GB2312" w:hAnsi="仿宋" w:eastAsia="仿宋_GB2312"/>
          <w:szCs w:val="32"/>
        </w:rPr>
        <w:t>以国内大循环为主题</w:t>
      </w:r>
      <w:r>
        <w:rPr>
          <w:rFonts w:hint="eastAsia" w:ascii="仿宋_GB2312" w:hAnsi="仿宋" w:eastAsia="仿宋_GB2312"/>
          <w:szCs w:val="32"/>
        </w:rPr>
        <w:t>、</w:t>
      </w:r>
      <w:r>
        <w:rPr>
          <w:rFonts w:ascii="仿宋_GB2312" w:hAnsi="仿宋" w:eastAsia="仿宋_GB2312"/>
          <w:szCs w:val="32"/>
        </w:rPr>
        <w:t>国内国际双循环相互促进的新发展格局加速构建</w:t>
      </w:r>
      <w:r>
        <w:rPr>
          <w:rFonts w:hint="eastAsia" w:ascii="仿宋_GB2312" w:hAnsi="仿宋" w:eastAsia="仿宋_GB2312"/>
          <w:szCs w:val="32"/>
        </w:rPr>
        <w:t>，</w:t>
      </w:r>
      <w:r>
        <w:rPr>
          <w:rFonts w:ascii="仿宋_GB2312" w:hAnsi="仿宋" w:eastAsia="仿宋_GB2312"/>
          <w:szCs w:val="32"/>
        </w:rPr>
        <w:t>长江经济带</w:t>
      </w:r>
      <w:r>
        <w:rPr>
          <w:rFonts w:hint="eastAsia" w:ascii="仿宋_GB2312" w:hAnsi="仿宋" w:eastAsia="仿宋_GB2312"/>
          <w:szCs w:val="32"/>
        </w:rPr>
        <w:t>、</w:t>
      </w:r>
      <w:r>
        <w:rPr>
          <w:rFonts w:ascii="仿宋_GB2312" w:hAnsi="仿宋" w:eastAsia="仿宋_GB2312"/>
          <w:szCs w:val="32"/>
        </w:rPr>
        <w:t>汉江生态经济带</w:t>
      </w:r>
      <w:r>
        <w:rPr>
          <w:rFonts w:hint="eastAsia" w:ascii="仿宋_GB2312" w:hAnsi="仿宋" w:eastAsia="仿宋_GB2312"/>
          <w:szCs w:val="32"/>
        </w:rPr>
        <w:t>、</w:t>
      </w:r>
      <w:r>
        <w:rPr>
          <w:rFonts w:ascii="仿宋_GB2312" w:hAnsi="仿宋" w:eastAsia="仿宋_GB2312"/>
          <w:szCs w:val="32"/>
        </w:rPr>
        <w:t>淮河生态经济带等国家重大战略在随州叠加</w:t>
      </w:r>
      <w:r>
        <w:rPr>
          <w:rFonts w:hint="eastAsia" w:ascii="仿宋_GB2312" w:hAnsi="仿宋" w:eastAsia="仿宋_GB2312"/>
          <w:szCs w:val="32"/>
        </w:rPr>
        <w:t>，</w:t>
      </w:r>
      <w:r>
        <w:rPr>
          <w:rFonts w:ascii="仿宋_GB2312" w:hAnsi="仿宋" w:eastAsia="仿宋_GB2312"/>
          <w:szCs w:val="32"/>
        </w:rPr>
        <w:t>湖北</w:t>
      </w:r>
      <w:r>
        <w:rPr>
          <w:rFonts w:hint="eastAsia" w:ascii="仿宋_GB2312" w:hAnsi="仿宋" w:eastAsia="仿宋_GB2312"/>
          <w:szCs w:val="32"/>
        </w:rPr>
        <w:t>“一主引领、两翼驱动、全域协同”区域发展赋予随州新使命，加速新发展格局构建，新的发展理念对矿产资源保护与合理开发利用提出更高的要求。坚持“生态优先、绿色发展”，落实国土空间“三条控制线”管控要求，科学划定勘查开发保护布局分区，深入推进矿业绿色发展，健全完善绿色发展标准体系，提升绿色矿山建设内在动力，加快实施绿色矿山建设三年行动方案，推动矿山企业转型升级，从源头上减少碳排放。</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w:t>
      </w:r>
      <w:r>
        <w:rPr>
          <w:rFonts w:hint="eastAsia"/>
        </w:rPr>
        <w:t xml:space="preserve"> </w:t>
      </w:r>
      <w:r>
        <w:rPr>
          <w:rFonts w:hint="eastAsia" w:ascii="仿宋_GB2312" w:hAnsi="仿宋" w:eastAsia="仿宋_GB2312"/>
          <w:b/>
          <w:szCs w:val="32"/>
        </w:rPr>
        <w:t>矿业高质量发展对矿产资源高效利用提出新标准</w:t>
      </w:r>
    </w:p>
    <w:p>
      <w:pPr>
        <w:spacing w:line="240" w:lineRule="auto"/>
        <w:ind w:firstLine="632"/>
        <w:jc w:val="both"/>
        <w:rPr>
          <w:rFonts w:ascii="仿宋_GB2312" w:hAnsi="仿宋" w:eastAsia="仿宋_GB2312" w:cs="仿宋"/>
          <w:szCs w:val="32"/>
        </w:rPr>
      </w:pPr>
      <w:r>
        <w:rPr>
          <w:rFonts w:hint="eastAsia" w:ascii="仿宋_GB2312" w:hAnsi="仿宋" w:eastAsia="仿宋_GB2312" w:cs="仿宋"/>
          <w:szCs w:val="32"/>
        </w:rPr>
        <w:t>我国经济已由高速增长阶段转向高质量发展阶段，高质量发展对矿产资源开发利用提出新的标准，强调对矿产资源开发利用的节约集约，高效利用，需要强化科技创新支撑，调整资源开发利用结构，全面提高矿产资源利用效率，落实国家矿产资源合理开发利用“三率”指标要求，鼓励矿山企业规模化、机械化、智能化采矿和集约化利用，提高随州饰面用花岗岩准入门槛，鼓励有条件的县市（区）提高建筑石料矿山的最低开采规模准入门槛。鼓励矿山利用矿产资源节约与综合利用先进适用技术，推进尾矿低成本再选、低品位矿综合利用、建材类尾矿的机制砂开发利用等，提高资源综合利用效率，对暂时难以回收利用的尾矿做好保护。</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4. 矿业管理的现代化对矿政管理改革创新提出新要求</w:t>
      </w:r>
    </w:p>
    <w:p>
      <w:pPr>
        <w:spacing w:line="240" w:lineRule="auto"/>
        <w:ind w:firstLine="632"/>
        <w:jc w:val="both"/>
        <w:rPr>
          <w:rFonts w:ascii="仿宋_GB2312" w:hAnsi="仿宋" w:eastAsia="仿宋_GB2312" w:cs="仿宋"/>
          <w:szCs w:val="32"/>
        </w:rPr>
      </w:pPr>
      <w:r>
        <w:rPr>
          <w:rFonts w:hint="eastAsia" w:ascii="仿宋_GB2312" w:hAnsi="仿宋" w:eastAsia="仿宋_GB2312" w:cs="仿宋"/>
          <w:szCs w:val="32"/>
        </w:rPr>
        <w:t>矿业管理的现代化要求以质量和效益为中心，要求矿政主管部门发挥创新能力，提高服务能力，深化“放管服”改革，进一步压减审批事项、简化审批登记要件和流程、推进审批登记信息化建设。全力优化矿业发展环境，激发市场主体活力，全面落实净采矿权出让政策，加强矿业权出让合同管理，加强矿业领域诚信体系建设，使优质的矿山企业做大做强。持续深化矿产资源监管方式改革，加强事前审批、事中事后监管全流程精细化、日常化管理和服务。健全过期矿权退出机制，依法依规管理矿业权，逐步消化僵尸矿权，提高矿产资源领域的治理能力和水平，以促进发展随州市经济。</w:t>
      </w:r>
    </w:p>
    <w:p>
      <w:pPr>
        <w:pStyle w:val="4"/>
        <w:spacing w:before="0" w:after="0" w:line="360" w:lineRule="auto"/>
        <w:ind w:firstLine="632" w:firstLineChars="200"/>
        <w:rPr>
          <w:rFonts w:ascii="黑体" w:hAnsi="黑体"/>
          <w:sz w:val="32"/>
        </w:rPr>
      </w:pPr>
      <w:bookmarkStart w:id="52" w:name="_Toc430840540"/>
      <w:bookmarkStart w:id="53" w:name="_Toc253051331"/>
      <w:bookmarkStart w:id="54" w:name="_Toc103951217"/>
      <w:bookmarkStart w:id="55" w:name="_Toc430545310"/>
      <w:r>
        <w:rPr>
          <w:rFonts w:hint="eastAsia" w:ascii="黑体" w:hAnsi="黑体"/>
          <w:sz w:val="32"/>
        </w:rPr>
        <w:t>二、指导思想、基本原则与规划目标</w:t>
      </w:r>
      <w:bookmarkEnd w:id="52"/>
      <w:bookmarkEnd w:id="53"/>
      <w:bookmarkEnd w:id="54"/>
      <w:bookmarkEnd w:id="55"/>
    </w:p>
    <w:p>
      <w:pPr>
        <w:pStyle w:val="5"/>
        <w:spacing w:before="0" w:after="0" w:line="360" w:lineRule="auto"/>
        <w:ind w:left="0" w:firstLine="632" w:firstLineChars="200"/>
        <w:rPr>
          <w:rFonts w:ascii="楷体_GB2312" w:hAnsi="黑体" w:eastAsia="楷体_GB2312"/>
          <w:sz w:val="32"/>
          <w:szCs w:val="36"/>
        </w:rPr>
      </w:pPr>
      <w:bookmarkStart w:id="56" w:name="_Toc190809654"/>
      <w:bookmarkStart w:id="57" w:name="_Toc253051332"/>
      <w:bookmarkStart w:id="58" w:name="_Toc103951218"/>
      <w:r>
        <w:rPr>
          <w:rFonts w:hint="eastAsia" w:ascii="楷体_GB2312" w:hAnsi="黑体" w:eastAsia="楷体_GB2312"/>
          <w:sz w:val="32"/>
          <w:szCs w:val="36"/>
        </w:rPr>
        <w:t>（一）指导思想</w:t>
      </w:r>
      <w:bookmarkEnd w:id="56"/>
      <w:bookmarkEnd w:id="57"/>
      <w:bookmarkEnd w:id="58"/>
    </w:p>
    <w:p>
      <w:pPr>
        <w:spacing w:line="240" w:lineRule="auto"/>
        <w:ind w:firstLine="632"/>
        <w:jc w:val="both"/>
        <w:rPr>
          <w:rFonts w:ascii="仿宋_GB2312" w:hAnsi="仿宋" w:eastAsia="仿宋_GB2312"/>
          <w:szCs w:val="32"/>
        </w:rPr>
      </w:pPr>
      <w:r>
        <w:rPr>
          <w:rFonts w:hint="eastAsia" w:ascii="仿宋_GB2312" w:hAnsi="仿宋" w:eastAsia="仿宋_GB2312"/>
          <w:szCs w:val="32"/>
        </w:rPr>
        <w:t>高举中国特色社会主义伟大旗帜，深入贯彻党的十九大和十九届历次全会精神，以习近平新时代中国特色社会主义思想为指导，坚持习近平生态文明思想，统筹推进“五位一体”总体布局，协调推进“四个全面”战略布局，立足新发展阶段，贯彻保资源、保发展理念，融入新发展格局，推动矿业高质量发展为主题，紧扣“汉襄肱骨、神韵随州”目标定位，着力构建“桥接汉襄、融通鄂豫、众星拱月”的发展布局。提高资源安全保障能力，正确处理好开发与保护、当前与长远、整体与局部的关系，使市场在资源配置中起决定性作用和更好的发挥政府作用，推动矿业绿色发展，筑牢鄂北生态屏障，确保资源供给与全省“一主引领、两翼驱动、全域协同”战略发展需求相适宜，资源开发利用与生态环境保护相协调。以矿产资源物质基础支持随州市国民经济和社会发展第十四个五年规划，奋力打造全省特色增长极，为湖北“建成支点、走在前列、谱写新篇”作出随州贡献。</w:t>
      </w:r>
    </w:p>
    <w:p>
      <w:pPr>
        <w:pStyle w:val="5"/>
        <w:spacing w:before="0" w:after="0" w:line="360" w:lineRule="auto"/>
        <w:ind w:left="0" w:firstLine="632" w:firstLineChars="200"/>
        <w:rPr>
          <w:rFonts w:ascii="楷体_GB2312" w:hAnsi="黑体" w:eastAsia="楷体_GB2312"/>
          <w:sz w:val="32"/>
          <w:szCs w:val="36"/>
        </w:rPr>
      </w:pPr>
      <w:bookmarkStart w:id="59" w:name="_Toc253051333"/>
      <w:bookmarkStart w:id="60" w:name="_Toc103951219"/>
      <w:bookmarkStart w:id="61" w:name="_Toc190809655"/>
      <w:r>
        <w:rPr>
          <w:rFonts w:hint="eastAsia" w:ascii="楷体_GB2312" w:hAnsi="黑体" w:eastAsia="楷体_GB2312"/>
          <w:sz w:val="32"/>
          <w:szCs w:val="36"/>
        </w:rPr>
        <w:t>（二）基本原则</w:t>
      </w:r>
      <w:bookmarkEnd w:id="59"/>
      <w:bookmarkEnd w:id="60"/>
      <w:bookmarkEnd w:id="61"/>
    </w:p>
    <w:p>
      <w:pPr>
        <w:spacing w:line="240" w:lineRule="auto"/>
        <w:ind w:firstLine="634"/>
        <w:jc w:val="both"/>
        <w:rPr>
          <w:rFonts w:ascii="仿宋_GB2312" w:hAnsi="仿宋" w:eastAsia="仿宋_GB2312"/>
          <w:b/>
          <w:szCs w:val="32"/>
        </w:rPr>
      </w:pPr>
      <w:bookmarkStart w:id="62" w:name="_Toc253051334"/>
      <w:bookmarkStart w:id="63" w:name="_Toc190809656"/>
      <w:r>
        <w:rPr>
          <w:rFonts w:hint="eastAsia" w:ascii="仿宋_GB2312" w:hAnsi="仿宋" w:eastAsia="仿宋_GB2312"/>
          <w:b/>
          <w:szCs w:val="32"/>
        </w:rPr>
        <w:t>1.资源保障，安全可控</w:t>
      </w:r>
    </w:p>
    <w:p>
      <w:pPr>
        <w:spacing w:line="240" w:lineRule="auto"/>
        <w:ind w:firstLine="632"/>
        <w:jc w:val="both"/>
        <w:rPr>
          <w:rFonts w:ascii="仿宋_GB2312" w:hAnsi="仿宋" w:eastAsia="仿宋_GB2312"/>
          <w:szCs w:val="32"/>
        </w:rPr>
      </w:pPr>
      <w:r>
        <w:rPr>
          <w:rFonts w:hint="eastAsia" w:ascii="仿宋_GB2312" w:hAnsi="仿宋" w:eastAsia="仿宋_GB2312"/>
          <w:szCs w:val="32"/>
        </w:rPr>
        <w:t>防范化解资源安全风险，把安全发展理念贯彻矿业高质量发展全流程，发挥资源保底作用，加强矿产勘查力度，优化和稳定矿产资源产业链供应链。矿产资源开发利用要向优势地区、优势企业、专精特新企业倾斜和整合，把资源优势转化为产业优势、经济优势，支撑产业发展。</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2.统筹兼顾，优化布局</w:t>
      </w:r>
    </w:p>
    <w:p>
      <w:pPr>
        <w:spacing w:line="240" w:lineRule="auto"/>
        <w:ind w:firstLine="632"/>
        <w:jc w:val="both"/>
        <w:rPr>
          <w:rFonts w:ascii="仿宋_GB2312" w:hAnsi="仿宋" w:eastAsia="仿宋_GB2312"/>
          <w:szCs w:val="32"/>
        </w:rPr>
      </w:pPr>
      <w:r>
        <w:rPr>
          <w:rFonts w:hint="eastAsia" w:ascii="仿宋_GB2312" w:hAnsi="仿宋" w:eastAsia="仿宋_GB2312"/>
          <w:szCs w:val="32"/>
        </w:rPr>
        <w:t xml:space="preserve">细化落实上级规划部署，确保目标指标和任务落地、重大项目落地。因地制宜，发挥精细管理和监管的作用。对本级审批发证的矿产资源开发利用与保护活动进行详细部署安排，引导矿业权合理设置，优化矿产资源勘查开发结构与布局。 </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3.生态优先，绿色发展</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坚持“绿色青山就是金山银山”理念，守住自然生态安全边界，加强绿色矿山建设，坚持绿色勘查、绿色开发，落实“碳达峰、碳中和”战略，推动资源开发利用与生态环境保护相协调。</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4.节约集约，高效利用</w:t>
      </w:r>
    </w:p>
    <w:p>
      <w:pPr>
        <w:spacing w:line="240" w:lineRule="auto"/>
        <w:ind w:firstLine="632"/>
        <w:jc w:val="both"/>
        <w:rPr>
          <w:rFonts w:ascii="仿宋_GB2312" w:hAnsi="仿宋" w:eastAsia="仿宋_GB2312"/>
          <w:szCs w:val="32"/>
        </w:rPr>
      </w:pPr>
      <w:r>
        <w:rPr>
          <w:rFonts w:hint="eastAsia" w:ascii="仿宋_GB2312" w:hAnsi="仿宋" w:eastAsia="仿宋_GB2312"/>
          <w:szCs w:val="32"/>
        </w:rPr>
        <w:t xml:space="preserve">充分发挥随州市资源优势，调整与优化矿产资源开发利用结构和规模，集约化、规模化、产业化生产，优化矿产资源勘查开采准入条件，合理调控矿产资源的勘查开采，综合利用矿产资源，提升开发利用效率。 </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5.立足市内，合作共赢</w:t>
      </w:r>
    </w:p>
    <w:p>
      <w:pPr>
        <w:spacing w:line="240" w:lineRule="auto"/>
        <w:ind w:firstLine="632"/>
        <w:jc w:val="both"/>
        <w:rPr>
          <w:rFonts w:ascii="仿宋_GB2312" w:hAnsi="仿宋" w:eastAsia="仿宋_GB2312"/>
          <w:szCs w:val="32"/>
        </w:rPr>
      </w:pPr>
      <w:r>
        <w:rPr>
          <w:rFonts w:hint="eastAsia" w:ascii="仿宋_GB2312" w:hAnsi="仿宋" w:eastAsia="仿宋_GB2312"/>
          <w:szCs w:val="32"/>
        </w:rPr>
        <w:t>立足市内矿产资源勘查开发，进一步开放矿业权市场，持续优化营商环境，吸引外部资金投资矿产资源勘查开发，实现合作共赢。</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6.深化改革，良性互动</w:t>
      </w:r>
    </w:p>
    <w:p>
      <w:pPr>
        <w:spacing w:line="240" w:lineRule="auto"/>
        <w:ind w:firstLine="632"/>
        <w:jc w:val="both"/>
        <w:rPr>
          <w:rFonts w:ascii="仿宋_GB2312" w:hAnsi="仿宋" w:eastAsia="仿宋_GB2312"/>
          <w:szCs w:val="32"/>
        </w:rPr>
      </w:pPr>
      <w:r>
        <w:rPr>
          <w:rFonts w:hint="eastAsia" w:ascii="仿宋_GB2312" w:hAnsi="仿宋" w:eastAsia="仿宋_GB2312"/>
          <w:szCs w:val="32"/>
        </w:rPr>
        <w:t>充分发挥市场在资源优化配置中的决定性作用，强化政府的宏观调控功能。进一步简政放权，依法行政，依法治矿，完善矿产资源管理新机制，全面推进矿业权竞争性出让。立足矿产资源服务社会和改善民生的基本要求，构建政府、企业、矿区群众资源开发收益和发展成果共享机制，实现矿地良性互动局面。</w:t>
      </w:r>
    </w:p>
    <w:p>
      <w:pPr>
        <w:pStyle w:val="5"/>
        <w:spacing w:before="0" w:after="0" w:line="360" w:lineRule="auto"/>
        <w:ind w:left="0" w:firstLine="632" w:firstLineChars="200"/>
        <w:rPr>
          <w:rFonts w:ascii="楷体_GB2312" w:hAnsi="黑体" w:eastAsia="楷体_GB2312"/>
          <w:sz w:val="32"/>
          <w:szCs w:val="36"/>
        </w:rPr>
      </w:pPr>
      <w:bookmarkStart w:id="64" w:name="_Toc103951220"/>
      <w:r>
        <w:rPr>
          <w:rFonts w:hint="eastAsia" w:ascii="楷体_GB2312" w:hAnsi="黑体" w:eastAsia="楷体_GB2312"/>
          <w:sz w:val="32"/>
          <w:szCs w:val="36"/>
        </w:rPr>
        <w:t>（三）规划目标</w:t>
      </w:r>
      <w:bookmarkEnd w:id="62"/>
      <w:bookmarkEnd w:id="63"/>
      <w:bookmarkEnd w:id="64"/>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1.总体目标</w:t>
      </w:r>
    </w:p>
    <w:p>
      <w:pPr>
        <w:autoSpaceDE w:val="0"/>
        <w:autoSpaceDN w:val="0"/>
        <w:adjustRightInd w:val="0"/>
        <w:spacing w:line="240" w:lineRule="auto"/>
        <w:ind w:firstLine="632"/>
        <w:jc w:val="both"/>
        <w:rPr>
          <w:rFonts w:ascii="仿宋_GB2312" w:hAnsi="仿宋" w:eastAsia="仿宋_GB2312"/>
          <w:szCs w:val="32"/>
        </w:rPr>
      </w:pPr>
      <w:r>
        <w:rPr>
          <w:rFonts w:hint="eastAsia" w:ascii="仿宋_GB2312" w:hAnsi="仿宋" w:eastAsia="仿宋_GB2312"/>
          <w:szCs w:val="32"/>
        </w:rPr>
        <w:t>突出精细管理和监管作用，进一步建立和完善安全、稳定、经济的资源保障管理体制和运行机制；加大基础地质调查和矿产资源勘查力度，矿产勘查工作取得较大突破，矿产资源安全保障能力不断提高；构建改革创新、结构优化、布局合理的矿业开发体系，实现矿产的有序开发、综合利用、产业链生产，使矿产优势转化为经济优势；推进绿色矿山建设，实现矿业开发与生态环境保护及相关产业的协调发展，基本形成节约高效、环境友好、矿地和谐的绿色矿业发展模式，实现矿业经济的高质量发展。</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2.规划期目标（2025年）</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（1）提高基础地质工作程度，保障资源供应</w:t>
      </w:r>
      <w:r>
        <w:rPr>
          <w:rFonts w:hint="eastAsia" w:ascii="仿宋_GB2312" w:hAnsi="仿宋" w:eastAsia="仿宋_GB2312"/>
          <w:szCs w:val="32"/>
        </w:rPr>
        <w:t>。加强基础地质调查工作，加大矿产资源调查评价、旅游地质调查项目的投入力度。力争在金、银、铜、铁、长石、饰面用花岗岩、石墨新的突破。</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（2）优化开发利用布局，开发总量得到有效调控</w:t>
      </w:r>
      <w:r>
        <w:rPr>
          <w:rFonts w:hint="eastAsia" w:ascii="仿宋_GB2312" w:hAnsi="仿宋" w:eastAsia="仿宋_GB2312"/>
          <w:szCs w:val="32"/>
        </w:rPr>
        <w:t>。全面优化随州市矿产资源的开发利用布局，特别针对随州市的特色重点矿种，将散乱的石材开采现状彻底扭转，做大矿山、大产业，集约节约，综合利用，加强矿山开采准入建设，严控矿山最低开采准入规模以及矿山最低服务年限。提高大中型矿山比例，逐步形成以大中型矿山为主体的开发格局。</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（3）转变资源利用方式，提高资源利用率</w:t>
      </w:r>
      <w:r>
        <w:rPr>
          <w:rFonts w:hint="eastAsia" w:ascii="仿宋_GB2312" w:hAnsi="仿宋" w:eastAsia="仿宋_GB2312"/>
          <w:szCs w:val="32"/>
        </w:rPr>
        <w:t>。推进矿业科技进步，完善矿业科技创新体系，大力推进找矿方法和勘查开发关键技术的自主创新。积极开展低品位、共伴生矿产以及尾矿资源的开发利用技术研究。进一步完善机制砂综合利用生产基地，提高资源利用率。</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（4）发展绿色矿业，建设和谐矿区</w:t>
      </w:r>
      <w:r>
        <w:rPr>
          <w:rFonts w:hint="eastAsia" w:ascii="仿宋_GB2312" w:hAnsi="仿宋" w:eastAsia="仿宋_GB2312"/>
          <w:szCs w:val="32"/>
        </w:rPr>
        <w:t>。矿业绿色发展成效显著，矿山生态环境明显改善，矿产资源开发利用更加高效，有计划、分步骤推进绿色矿山建设，生产矿山达标率逐年提升。</w:t>
      </w:r>
    </w:p>
    <w:p>
      <w:pPr>
        <w:pStyle w:val="2"/>
        <w:spacing w:after="0" w:line="240" w:lineRule="auto"/>
        <w:ind w:left="0" w:leftChars="0" w:firstLine="629" w:firstLineChars="199"/>
        <w:jc w:val="both"/>
        <w:rPr>
          <w:rFonts w:ascii="仿宋_GB2312" w:hAnsi="仿宋" w:eastAsia="仿宋_GB2312"/>
          <w:szCs w:val="32"/>
        </w:rPr>
      </w:pPr>
      <w:r>
        <w:rPr>
          <w:rFonts w:hint="eastAsia" w:ascii="仿宋_GB2312" w:hAnsi="仿宋" w:eastAsia="仿宋_GB2312"/>
          <w:b/>
          <w:szCs w:val="32"/>
        </w:rPr>
        <w:t>（5）完善矿产资源管理体制，管理和服务水平大幅提升</w:t>
      </w:r>
      <w:r>
        <w:rPr>
          <w:rFonts w:hint="eastAsia" w:ascii="仿宋_GB2312" w:hAnsi="仿宋" w:eastAsia="仿宋_GB2312"/>
          <w:szCs w:val="32"/>
        </w:rPr>
        <w:t>。</w:t>
      </w:r>
    </w:p>
    <w:p>
      <w:pPr>
        <w:pStyle w:val="2"/>
        <w:spacing w:after="0" w:line="240" w:lineRule="auto"/>
        <w:ind w:left="0" w:leftChars="0" w:firstLine="629" w:firstLineChars="199"/>
        <w:jc w:val="both"/>
        <w:rPr>
          <w:rFonts w:ascii="仿宋_GB2312" w:hAnsi="仿宋" w:eastAsia="仿宋_GB2312"/>
          <w:szCs w:val="32"/>
        </w:rPr>
      </w:pPr>
      <w:r>
        <w:rPr>
          <w:rFonts w:hint="eastAsia" w:ascii="仿宋_GB2312" w:hAnsi="仿宋" w:eastAsia="仿宋_GB2312"/>
          <w:szCs w:val="32"/>
        </w:rPr>
        <w:t>规范矿产资源勘查开发秩序，加快建立与完善以矿业权市场、矿业资本市场为核心的矿产资源要素市场体系，矿业管理更富成效和可操作性，矿业权准入退出机制更加严格和完善，大幅提升随州市矿产资源治理能力，保障矿业绿色健康稳定发展。</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3.展望期目标（2035年）</w:t>
      </w:r>
    </w:p>
    <w:p>
      <w:pPr>
        <w:spacing w:line="240" w:lineRule="auto"/>
        <w:ind w:firstLine="632"/>
        <w:jc w:val="both"/>
        <w:rPr>
          <w:rFonts w:ascii="仿宋_GB2312" w:hAnsi="仿宋" w:eastAsia="仿宋_GB2312"/>
          <w:szCs w:val="32"/>
        </w:rPr>
      </w:pPr>
      <w:r>
        <w:rPr>
          <w:rFonts w:hint="eastAsia" w:ascii="仿宋_GB2312" w:hAnsi="仿宋" w:eastAsia="仿宋_GB2312"/>
          <w:szCs w:val="32"/>
        </w:rPr>
        <w:t>以矿业权市场和矿业资本市场为要素的矿产资源要素市场体系基本形成，矿产资源开发利用秩序、矿业发展环境根本好转；矿产资源调查评价与勘查工作全面加强，找矿实现重大突破，矿产资源保障程度进一步提高；大中型矿山比例大幅提高，“三率”达到国内同类矿山先进水平，饰面石材园区化、产业链集群发展更加成熟完善；绿色矿山建设有突破性进展，矿业发展与生态文明有机融合，基本实现矿业经济的现代化。</w:t>
      </w:r>
    </w:p>
    <w:p>
      <w:pPr>
        <w:pStyle w:val="4"/>
        <w:spacing w:before="0" w:after="0" w:line="360" w:lineRule="auto"/>
        <w:ind w:firstLine="632" w:firstLineChars="200"/>
        <w:rPr>
          <w:rFonts w:ascii="黑体" w:hAnsi="黑体"/>
          <w:sz w:val="32"/>
        </w:rPr>
      </w:pPr>
      <w:bookmarkStart w:id="65" w:name="_Toc103951221"/>
      <w:r>
        <w:rPr>
          <w:rFonts w:hint="eastAsia" w:ascii="黑体" w:hAnsi="黑体"/>
          <w:sz w:val="32"/>
        </w:rPr>
        <w:t>三、矿产资源勘查开发与保护总体布局</w:t>
      </w:r>
      <w:bookmarkEnd w:id="65"/>
    </w:p>
    <w:p>
      <w:pPr>
        <w:pStyle w:val="5"/>
        <w:spacing w:before="0" w:after="0" w:line="360" w:lineRule="auto"/>
        <w:ind w:left="0" w:firstLine="632" w:firstLineChars="200"/>
        <w:rPr>
          <w:rFonts w:ascii="楷体_GB2312" w:hAnsi="黑体" w:eastAsia="楷体_GB2312"/>
          <w:sz w:val="32"/>
          <w:szCs w:val="36"/>
        </w:rPr>
      </w:pPr>
      <w:bookmarkStart w:id="66" w:name="_Toc103951223"/>
      <w:r>
        <w:rPr>
          <w:rFonts w:hint="eastAsia" w:ascii="楷体_GB2312" w:hAnsi="黑体" w:eastAsia="楷体_GB2312"/>
          <w:sz w:val="32"/>
          <w:szCs w:val="36"/>
        </w:rPr>
        <w:t>（一）优化空间布局，聚力精准施策</w:t>
      </w:r>
      <w:bookmarkEnd w:id="66"/>
    </w:p>
    <w:p>
      <w:pPr>
        <w:spacing w:line="240" w:lineRule="auto"/>
        <w:ind w:firstLine="632"/>
        <w:jc w:val="both"/>
        <w:rPr>
          <w:rFonts w:ascii="仿宋_GB2312" w:hAnsi="仿宋" w:eastAsia="仿宋_GB2312"/>
          <w:szCs w:val="32"/>
        </w:rPr>
      </w:pPr>
      <w:r>
        <w:rPr>
          <w:rFonts w:hint="eastAsia" w:ascii="仿宋_GB2312" w:hAnsi="仿宋" w:eastAsia="仿宋_GB2312"/>
          <w:szCs w:val="32"/>
        </w:rPr>
        <w:t>根据随州市矿产资源禀赋特点和产业比较优势，结合《随州市国民经济和社会发展第十四个五年规划和2035年远景目标纲要》，以国土空间规划为统领，紧扣随州市作为“一主两翼”北翼“襄十随神”城市群中的矿产资源补给区的功能区定位，在符合生态环境承载力的基础上，推进矿产资源空间布局与区域发展</w:t>
      </w:r>
    </w:p>
    <w:p>
      <w:pPr>
        <w:spacing w:line="240" w:lineRule="auto"/>
        <w:ind w:firstLine="0" w:firstLineChars="0"/>
        <w:jc w:val="both"/>
        <w:rPr>
          <w:rFonts w:ascii="仿宋_GB2312" w:hAnsi="仿宋" w:eastAsia="仿宋_GB2312"/>
          <w:szCs w:val="32"/>
        </w:rPr>
      </w:pPr>
      <w:r>
        <w:rPr>
          <w:rFonts w:hint="eastAsia" w:ascii="仿宋_GB2312" w:hAnsi="仿宋" w:eastAsia="仿宋_GB2312"/>
          <w:szCs w:val="32"/>
        </w:rPr>
        <w:t>布局深度融合，合理进行矿产资源的勘查开发布局，突出资源优化配置，提升矿产资源保障能力，推动传统产业转型升级，打造百亿产业集群。为细化落实上级战略部署，明确主要方向，统筹勘查开发，将全市划分为随北矿产资源集中发展区、随东建筑石料矿产资源优化区、随南生态环境保护区等三大片区，初步形成资源开发与保护新格局，推动资源开发布局与生态保护、区域发展格局更加协调。</w:t>
      </w:r>
    </w:p>
    <w:p>
      <w:pPr>
        <w:spacing w:line="240" w:lineRule="auto"/>
        <w:ind w:firstLine="634"/>
        <w:jc w:val="both"/>
        <w:rPr>
          <w:rFonts w:ascii="仿宋_GB2312" w:hAnsi="仿宋" w:eastAsia="仿宋_GB2312"/>
          <w:szCs w:val="32"/>
        </w:rPr>
      </w:pPr>
      <w:r>
        <w:rPr>
          <w:rFonts w:hint="eastAsia" w:ascii="仿宋_GB2312" w:hAnsi="仿宋" w:eastAsia="仿宋_GB2312"/>
          <w:b/>
          <w:szCs w:val="32"/>
        </w:rPr>
        <w:t>随北矿产资源集中发展区</w:t>
      </w:r>
      <w:r>
        <w:rPr>
          <w:rFonts w:hint="eastAsia" w:ascii="仿宋_GB2312" w:hAnsi="仿宋" w:eastAsia="仿宋_GB2312"/>
          <w:szCs w:val="32"/>
        </w:rPr>
        <w:t>。行政区主要为随县北部，矿业发展要素聚集程度高，资源环境承载力强。重点发展随北石材产业，清理全市饰面用花岗岩矿业权，优化集中在随北投放，规模化、产业化、绿色化生产，引导随县石材资源向技术装备先进、资源利用率高、环境保护和安全生产达标的大型优势企业集聚，推动石材企业由粗放经营型向精深加工型转变，加强尾矿的综合利用，加快机制砂生产基地的建设，加快开发墙材新产品、新技术，扩大新型墙材生产规模，支持随县建设石材绿色循环产业园，逐步建立完整新型建材产业链和供应链一体化矿业经济体系。加大战略矿种金、银、铜、铁、钼、锰的基础地质调查和矿产勘查力度，推进深地探测工作，努力实现找矿新突破，强化战略性矿产资源安全保障。优化整合长石资源，加强勘查投入，提高开发利用效率，增加资源储备。</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随东建筑石料矿产资源优化区</w:t>
      </w:r>
      <w:r>
        <w:rPr>
          <w:rFonts w:hint="eastAsia" w:ascii="仿宋_GB2312" w:hAnsi="仿宋" w:eastAsia="仿宋_GB2312"/>
          <w:szCs w:val="32"/>
        </w:rPr>
        <w:t>。行政区主要包括曾都区和广水市，建筑石料资源基础条件较好，生态约束较小，突出资源优化配置，提升建筑石料的规模开发和集约化利用水平，规划建筑用石料矿产集中开采区，提高准入标准，扩大生产规模，保障资源供应，支持地方基础设施建设。</w:t>
      </w:r>
    </w:p>
    <w:p>
      <w:pPr>
        <w:pStyle w:val="2"/>
        <w:spacing w:after="0" w:line="240" w:lineRule="auto"/>
        <w:ind w:left="0" w:leftChars="0" w:firstLine="634"/>
        <w:jc w:val="both"/>
        <w:rPr>
          <w:rFonts w:ascii="仿宋_GB2312" w:hAnsi="仿宋" w:eastAsia="仿宋_GB2312"/>
          <w:szCs w:val="32"/>
        </w:rPr>
      </w:pPr>
      <w:r>
        <w:rPr>
          <w:rFonts w:hint="eastAsia" w:ascii="仿宋_GB2312" w:hAnsi="仿宋" w:eastAsia="仿宋_GB2312"/>
          <w:b/>
          <w:szCs w:val="32"/>
        </w:rPr>
        <w:t>随南生态环境保护区</w:t>
      </w:r>
      <w:r>
        <w:rPr>
          <w:rFonts w:hint="eastAsia" w:ascii="仿宋_GB2312" w:hAnsi="仿宋" w:eastAsia="仿宋_GB2312"/>
          <w:szCs w:val="32"/>
        </w:rPr>
        <w:t>。行政区主要为随县南部，资源基础条件一般，生态约束较强，突出以环境保护为前提，适度开发，以地热、矿泉水等清洁资源开发利用为主，发展生态康养、旅游休闲产业，推动城乡融合，不断将资源优势转化为经济优势，服务地方经济。</w:t>
      </w:r>
    </w:p>
    <w:p>
      <w:pPr>
        <w:pStyle w:val="5"/>
        <w:spacing w:before="0" w:after="0" w:line="360" w:lineRule="auto"/>
        <w:ind w:left="0" w:firstLine="632" w:firstLineChars="200"/>
        <w:rPr>
          <w:rFonts w:ascii="楷体_GB2312" w:hAnsi="黑体" w:eastAsia="楷体_GB2312"/>
          <w:sz w:val="32"/>
          <w:szCs w:val="36"/>
        </w:rPr>
      </w:pPr>
      <w:bookmarkStart w:id="67" w:name="_Toc103951224"/>
      <w:r>
        <w:rPr>
          <w:rFonts w:hint="eastAsia" w:ascii="楷体_GB2312" w:hAnsi="黑体" w:eastAsia="楷体_GB2312"/>
          <w:sz w:val="32"/>
          <w:szCs w:val="36"/>
        </w:rPr>
        <w:t>（二）分级管控，优化重点工作</w:t>
      </w:r>
      <w:bookmarkEnd w:id="67"/>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优化资源配置和结构，落实省级工作部署，合理布局随州市优势矿产重点勘查区、重点开采区、集中开采区，分级管控，优化重点工作，实现规模开发和集约利用，促进协调发展。</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为了落实矿产资源勘查、开发利用等具体目标任务，综合考虑矿产资源供需形势、国家产业政策和资源环境承载能力，将找矿潜力大、前景好的金矿成矿有利区域划定为重点勘查区，重点勘查区优先部署基础性地质工作，提高研究程度，降低找矿风险；引导和鼓励社会资金投入，鼓励资源、资本、技术以各种形式进行合作；坚持绿色勘查、综合勘查、综合评价，鼓励制度创新、技术创新，加强新技术新方法应用；支持老矿山深部和外围的勘查工作；实行重点监管，严格执行勘查准入条件，加强勘查合同执行情况的监督检查。</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在矿产资源相对集中、禀赋和开发利用条件好的七尖峰岩体地区划定饰面用花岗岩矿重点开采区，作为引导各类要素聚集，促进资源规模开采、集约利用和有序开发的重点区域。统筹推进饰面用花岗岩绿色化、集群化、高端化发展，注销区内饰面用花岗岩矿山，优化整合资源、资金、技术等各项发展要素，规模化开采、园区化开发、产业链化发展，支撑随州市石材产业发展，更好的服务随州经济，造福一方人民。重点开采区实行高质量发展，严格准入标准，在用地和矿业权配置等方面给予支持，指导企业配建与开采规模产生废石数量相适应的机制砂石生产基地，引导各类生产要素向技术先进、资金雄厚及“三率”水平达到国内先进水平的大中型企业集聚，促进大型和特大型现代化矿山建设，做好新工艺研究，延长矿产产业链，提高资源经济附加值。</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结合随州市矿业特色统筹</w:t>
      </w:r>
      <w:r>
        <w:rPr>
          <w:rFonts w:ascii="仿宋_GB2312" w:hAnsi="仿宋" w:eastAsia="仿宋_GB2312"/>
          <w:szCs w:val="32"/>
        </w:rPr>
        <w:t>建设</w:t>
      </w:r>
      <w:r>
        <w:rPr>
          <w:rFonts w:hint="eastAsia" w:ascii="仿宋_GB2312" w:hAnsi="仿宋" w:eastAsia="仿宋_GB2312"/>
          <w:szCs w:val="32"/>
        </w:rPr>
        <w:t>建筑用砂石类矿产集中开采区，实行统一规划、统一设计、统一开发、统一管理，单个集中开采区总开采规模达100万吨/年，进入矿山生产规模不低于50万吨/年，强化矿山生态修复责任与监管，最大限度减少矿山开采对环境影响，指导矿山企业走“规模化发展、规范化开采、基地化建设”的“三化”发展之路，为随州市基础设施建设提供资源保障。</w:t>
      </w:r>
    </w:p>
    <w:p>
      <w:pPr>
        <w:pStyle w:val="5"/>
        <w:spacing w:before="0" w:after="0" w:line="360" w:lineRule="auto"/>
        <w:ind w:left="0" w:firstLine="632" w:firstLineChars="200"/>
        <w:rPr>
          <w:rFonts w:ascii="楷体_GB2312" w:hAnsi="黑体" w:eastAsia="楷体_GB2312"/>
          <w:sz w:val="32"/>
          <w:szCs w:val="36"/>
        </w:rPr>
      </w:pPr>
      <w:bookmarkStart w:id="68" w:name="_Toc103951222"/>
      <w:r>
        <w:rPr>
          <w:rFonts w:hint="eastAsia" w:ascii="楷体_GB2312" w:hAnsi="黑体" w:eastAsia="楷体_GB2312"/>
          <w:sz w:val="32"/>
          <w:szCs w:val="36"/>
        </w:rPr>
        <w:t>（三）守住自然生态安全边界</w:t>
      </w:r>
      <w:bookmarkEnd w:id="68"/>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严格遵守国土空间规划和用途管制要求，强化底线原则，严守“三条控制线”，衔接落实区域“三线一单”分区管控要求，根据现有相关规定，生态保护红线、生态公益林、永久基本农田范围内原则上禁止或限制矿产资源勘查开采活动。坚持共抓大保护、不搞大开发，严格落实长江保护法要求。统筹矿产资源勘查开发布局，细化落实各类勘查、重点开采区及区块与生态保护红</w:t>
      </w:r>
    </w:p>
    <w:p>
      <w:pPr>
        <w:pStyle w:val="2"/>
        <w:spacing w:after="0" w:line="240" w:lineRule="auto"/>
        <w:ind w:left="0" w:leftChars="0" w:firstLine="0" w:firstLineChars="0"/>
        <w:jc w:val="both"/>
        <w:rPr>
          <w:rFonts w:ascii="仿宋_GB2312" w:hAnsi="仿宋" w:eastAsia="仿宋_GB2312"/>
          <w:szCs w:val="32"/>
        </w:rPr>
      </w:pPr>
      <w:r>
        <w:rPr>
          <w:rFonts w:hint="eastAsia" w:ascii="仿宋_GB2312" w:hAnsi="仿宋" w:eastAsia="仿宋_GB2312"/>
          <w:szCs w:val="32"/>
        </w:rPr>
        <w:t>线、自然保护地等的衔接，推动资源开发与环境保护、区域经济和城乡建设协调发展。列入本规划的矿产资源勘查开发活动，在进行矿权投放准备工作时，必须优先充分征求相关部门的具体意见，避免矿产勘查开发与禁止区域或限制区域冲突。</w:t>
      </w:r>
    </w:p>
    <w:p>
      <w:pPr>
        <w:pStyle w:val="4"/>
        <w:spacing w:before="0" w:after="0" w:line="360" w:lineRule="auto"/>
        <w:ind w:firstLine="632" w:firstLineChars="200"/>
        <w:rPr>
          <w:rFonts w:ascii="黑体" w:hAnsi="黑体"/>
          <w:sz w:val="32"/>
        </w:rPr>
      </w:pPr>
      <w:bookmarkStart w:id="69" w:name="_Toc103951225"/>
      <w:bookmarkStart w:id="70" w:name="_Toc253051335"/>
      <w:bookmarkStart w:id="71" w:name="_Toc430840541"/>
      <w:bookmarkStart w:id="72" w:name="_Toc430545311"/>
      <w:r>
        <w:rPr>
          <w:rFonts w:hint="eastAsia" w:ascii="黑体" w:hAnsi="黑体"/>
          <w:sz w:val="32"/>
        </w:rPr>
        <w:t>四、矿产资源调查评价与勘查</w:t>
      </w:r>
      <w:bookmarkEnd w:id="69"/>
    </w:p>
    <w:bookmarkEnd w:id="70"/>
    <w:bookmarkEnd w:id="71"/>
    <w:bookmarkEnd w:id="72"/>
    <w:p>
      <w:pPr>
        <w:pStyle w:val="5"/>
        <w:spacing w:before="0" w:after="0" w:line="360" w:lineRule="auto"/>
        <w:ind w:left="0" w:firstLine="632" w:firstLineChars="200"/>
        <w:rPr>
          <w:rFonts w:ascii="楷体_GB2312" w:hAnsi="黑体" w:eastAsia="楷体_GB2312"/>
          <w:sz w:val="32"/>
          <w:szCs w:val="36"/>
        </w:rPr>
      </w:pPr>
      <w:bookmarkStart w:id="73" w:name="_Toc190809658"/>
      <w:bookmarkStart w:id="74" w:name="_Toc253051336"/>
      <w:bookmarkStart w:id="75" w:name="_Toc103951226"/>
      <w:r>
        <w:rPr>
          <w:rFonts w:hint="eastAsia" w:ascii="楷体_GB2312" w:hAnsi="黑体" w:eastAsia="楷体_GB2312"/>
          <w:sz w:val="32"/>
          <w:szCs w:val="36"/>
        </w:rPr>
        <w:t>（一）矿产资源调查评价与勘查方向</w:t>
      </w:r>
      <w:bookmarkEnd w:id="73"/>
      <w:bookmarkEnd w:id="74"/>
      <w:bookmarkEnd w:id="75"/>
    </w:p>
    <w:p>
      <w:pPr>
        <w:spacing w:line="240" w:lineRule="auto"/>
        <w:ind w:firstLine="632"/>
        <w:jc w:val="both"/>
        <w:rPr>
          <w:rFonts w:ascii="仿宋_GB2312" w:hAnsi="仿宋" w:eastAsia="仿宋_GB2312"/>
          <w:szCs w:val="32"/>
        </w:rPr>
      </w:pPr>
      <w:r>
        <w:rPr>
          <w:rFonts w:hint="eastAsia" w:ascii="仿宋_GB2312" w:hAnsi="仿宋" w:eastAsia="仿宋_GB2312"/>
          <w:szCs w:val="32"/>
        </w:rPr>
        <w:t>根据湖北省矿产资源总体规划的要求，结合随州市矿产资源勘查工作实际情况，重点勘查无政策限制、找矿潜力较大、资源禀赋条件较好的战略性矿产和服务地方经济发展重点矿产。随州市重点勘查矿种主要有：钼、稀土、晶质石墨、铁、锰、铜、金（砂金除外）、银、铌、钽、普通萤石、磷、地热、矿泉水、饰面用花岗岩、重晶石、长石等矿种。重点勘查矿种优先投放探矿权，鼓励社会多元投资，按照矿业权分类管理规定及现行的矿业管理政策投放探矿权，争取实现找矿新突破。</w:t>
      </w:r>
    </w:p>
    <w:p>
      <w:pPr>
        <w:pStyle w:val="5"/>
        <w:spacing w:before="0" w:after="0" w:line="360" w:lineRule="auto"/>
        <w:ind w:left="0" w:firstLine="632" w:firstLineChars="200"/>
        <w:rPr>
          <w:rFonts w:ascii="楷体_GB2312" w:hAnsi="黑体" w:eastAsia="楷体_GB2312"/>
          <w:sz w:val="32"/>
          <w:szCs w:val="36"/>
        </w:rPr>
      </w:pPr>
      <w:bookmarkStart w:id="76" w:name="_Toc190809659"/>
      <w:bookmarkStart w:id="77" w:name="_Toc253051337"/>
      <w:bookmarkStart w:id="78" w:name="_Toc103951227"/>
      <w:r>
        <w:rPr>
          <w:rFonts w:hint="eastAsia" w:ascii="楷体_GB2312" w:hAnsi="黑体" w:eastAsia="楷体_GB2312"/>
          <w:sz w:val="32"/>
          <w:szCs w:val="36"/>
        </w:rPr>
        <w:t>（二）矿产资源调查评价与勘查布局</w:t>
      </w:r>
      <w:bookmarkEnd w:id="76"/>
      <w:bookmarkEnd w:id="77"/>
      <w:bookmarkEnd w:id="78"/>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1.基础性、公益性地质调查</w:t>
      </w:r>
    </w:p>
    <w:p>
      <w:pPr>
        <w:spacing w:line="240" w:lineRule="auto"/>
        <w:ind w:firstLine="632"/>
        <w:jc w:val="both"/>
        <w:rPr>
          <w:rFonts w:ascii="仿宋_GB2312" w:hAnsi="仿宋" w:eastAsia="仿宋_GB2312"/>
          <w:color w:val="FF0000"/>
          <w:szCs w:val="32"/>
        </w:rPr>
      </w:pPr>
      <w:r>
        <w:rPr>
          <w:rFonts w:hint="eastAsia" w:ascii="仿宋_GB2312" w:hAnsi="仿宋" w:eastAsia="仿宋_GB2312"/>
          <w:szCs w:val="32"/>
        </w:rPr>
        <w:t>全面落实省规划布局，积极协助并着力推进省规划部署在随州市内的基础性、公益性地质矿产调查工作和战略性矿产勘查。深化基础地质研究，提高重点成矿区带地质工作程度程度。</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2.勘查规划分区</w:t>
      </w:r>
    </w:p>
    <w:p>
      <w:pPr>
        <w:autoSpaceDE w:val="0"/>
        <w:autoSpaceDN w:val="0"/>
        <w:adjustRightInd w:val="0"/>
        <w:spacing w:line="240" w:lineRule="auto"/>
        <w:ind w:firstLine="632"/>
        <w:jc w:val="both"/>
        <w:rPr>
          <w:rFonts w:ascii="仿宋_GB2312" w:hAnsi="仿宋" w:eastAsia="仿宋_GB2312"/>
          <w:szCs w:val="32"/>
        </w:rPr>
      </w:pPr>
      <w:r>
        <w:rPr>
          <w:rFonts w:hint="eastAsia" w:ascii="仿宋_GB2312" w:hAnsi="仿宋" w:eastAsia="仿宋_GB2312"/>
          <w:szCs w:val="32"/>
        </w:rPr>
        <w:t>根据矿产资源供需关系、国家产业政策、资源环境承载能力、成矿地质条件和国土空间管控要求等，在成矿地质条件有利和找矿前景良好的地区，划定重点加强矿产资源勘查的区域。</w:t>
      </w:r>
    </w:p>
    <w:p>
      <w:pPr>
        <w:autoSpaceDE w:val="0"/>
        <w:autoSpaceDN w:val="0"/>
        <w:adjustRightInd w:val="0"/>
        <w:spacing w:line="240" w:lineRule="auto"/>
        <w:ind w:firstLine="632"/>
        <w:jc w:val="both"/>
        <w:rPr>
          <w:rFonts w:ascii="仿宋_GB2312" w:hAnsi="仿宋" w:eastAsia="仿宋_GB2312"/>
          <w:szCs w:val="32"/>
        </w:rPr>
      </w:pPr>
      <w:r>
        <w:rPr>
          <w:rFonts w:hint="eastAsia" w:ascii="仿宋_GB2312" w:hAnsi="仿宋" w:eastAsia="仿宋_GB2312"/>
          <w:szCs w:val="32"/>
        </w:rPr>
        <w:t>在重点勘查区内加大勘查新技术、新方法和新装备的应用力度，推动勘查技术创新，力争实现找矿重大突破。</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3.勘查规划区块</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根据资源成矿条件、地质找矿信息、矿业权设置现状、技术经济条件和生态环境的约束等因素，优先保证国家紧缺矿产和重要矿产。</w:t>
      </w:r>
    </w:p>
    <w:p>
      <w:pPr>
        <w:pStyle w:val="2"/>
        <w:spacing w:after="0" w:line="240" w:lineRule="auto"/>
        <w:ind w:left="0" w:leftChars="0" w:firstLine="632"/>
        <w:rPr>
          <w:rFonts w:ascii="仿宋_GB2312" w:hAnsi="仿宋" w:eastAsia="仿宋_GB2312"/>
          <w:szCs w:val="32"/>
        </w:rPr>
      </w:pPr>
      <w:r>
        <w:rPr>
          <w:rFonts w:hint="eastAsia" w:ascii="仿宋_GB2312" w:hAnsi="仿宋" w:eastAsia="仿宋_GB2312"/>
          <w:szCs w:val="32"/>
        </w:rPr>
        <w:t>已明确划定的勘查规划区块，原则上一个区块内只设置一个勘查主体。财政出资勘查的项目成果，应及时纳入规划形成勘查规划区块。中央或地方财政出资勘查项目，凭计划任务书或项目合同、设计审查意见开展地质勘查工作。引导社会资本投入，优化矿产资源配置，指导矿业权合理设置，为探矿权投放提供参考依据。</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4.探矿权设置与投放</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按照地质勘查工作的特点和矿产资源保障的要求，适时投放探矿权。对找矿潜力大的重要成矿区带、社会经济发展影响大的重要矿种的勘查项目，优先投放探矿权。结合规划基期探矿权实际，做好规划期内探矿权投放规划。</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新设探矿权，应满足勘查规划区块管控要求。探矿权的投放要严格审查，必须满足准入要求。</w:t>
      </w:r>
    </w:p>
    <w:p>
      <w:pPr>
        <w:pStyle w:val="5"/>
        <w:spacing w:before="0" w:after="0" w:line="360" w:lineRule="auto"/>
        <w:ind w:left="0" w:firstLine="632" w:firstLineChars="200"/>
        <w:rPr>
          <w:rFonts w:ascii="楷体_GB2312" w:hAnsi="黑体" w:eastAsia="楷体_GB2312"/>
          <w:sz w:val="32"/>
          <w:szCs w:val="36"/>
        </w:rPr>
      </w:pPr>
      <w:bookmarkStart w:id="79" w:name="_Toc103951228"/>
      <w:bookmarkStart w:id="80" w:name="_Toc430545312"/>
      <w:bookmarkStart w:id="81" w:name="_Toc253051341"/>
      <w:bookmarkStart w:id="82" w:name="_Toc430840542"/>
      <w:r>
        <w:rPr>
          <w:rFonts w:hint="eastAsia" w:ascii="楷体_GB2312" w:hAnsi="黑体" w:eastAsia="楷体_GB2312"/>
          <w:sz w:val="32"/>
          <w:szCs w:val="36"/>
        </w:rPr>
        <w:t>（三）勘查准入条件</w:t>
      </w:r>
      <w:bookmarkEnd w:id="79"/>
    </w:p>
    <w:p>
      <w:pPr>
        <w:spacing w:line="240" w:lineRule="auto"/>
        <w:ind w:firstLine="632"/>
        <w:jc w:val="both"/>
        <w:rPr>
          <w:rFonts w:ascii="仿宋_GB2312" w:hAnsi="仿宋" w:eastAsia="仿宋_GB2312"/>
          <w:szCs w:val="32"/>
        </w:rPr>
      </w:pPr>
      <w:r>
        <w:rPr>
          <w:rFonts w:hint="eastAsia" w:ascii="仿宋_GB2312" w:hAnsi="仿宋" w:eastAsia="仿宋_GB2312"/>
          <w:szCs w:val="32"/>
        </w:rPr>
        <w:t>根据《中华人民共和国矿产资源法》《矿产资源勘查区块登记管理办法》《湖北省地质矿产勘查管理条例》《国土资源部关于进一步规范矿产资源勘查审批登记管理的通知》及《自然资源部关于推进矿产资源管理改革若干事项的意见（试行）》等有关法律法规及相关政策，结合随州市矿产资源勘查工作实际，提出以下勘查准入条件：</w:t>
      </w:r>
    </w:p>
    <w:p>
      <w:pPr>
        <w:spacing w:line="240" w:lineRule="auto"/>
        <w:ind w:firstLine="632"/>
        <w:jc w:val="both"/>
        <w:rPr>
          <w:rFonts w:ascii="仿宋_GB2312" w:hAnsi="仿宋" w:eastAsia="仿宋_GB2312"/>
          <w:szCs w:val="32"/>
        </w:rPr>
      </w:pPr>
      <w:r>
        <w:rPr>
          <w:rFonts w:hint="eastAsia" w:ascii="仿宋_GB2312" w:hAnsi="仿宋" w:eastAsia="仿宋_GB2312"/>
          <w:szCs w:val="32"/>
        </w:rPr>
        <w:t>——矿产资源勘查活动必须符合“三条控制线”、生态环境保护和国家产业政策等相关要求。</w:t>
      </w:r>
    </w:p>
    <w:p>
      <w:pPr>
        <w:spacing w:line="240" w:lineRule="auto"/>
        <w:ind w:firstLine="632"/>
        <w:jc w:val="both"/>
        <w:rPr>
          <w:rFonts w:ascii="仿宋_GB2312" w:hAnsi="仿宋" w:eastAsia="仿宋_GB2312"/>
          <w:szCs w:val="32"/>
        </w:rPr>
      </w:pPr>
      <w:r>
        <w:rPr>
          <w:rFonts w:hint="eastAsia" w:ascii="仿宋_GB2312" w:hAnsi="仿宋" w:eastAsia="仿宋_GB2312"/>
          <w:szCs w:val="32"/>
        </w:rPr>
        <w:t>——矿产资源勘查活动必须符合《规划》勘查矿种、勘查区域布局调控等要求。</w:t>
      </w:r>
      <w:r>
        <w:rPr>
          <w:rFonts w:hint="eastAsia" w:ascii="宋体" w:hAnsi="宋体" w:eastAsia="宋体" w:cs="宋体"/>
          <w:szCs w:val="32"/>
        </w:rPr>
        <w:t> </w:t>
      </w:r>
    </w:p>
    <w:p>
      <w:pPr>
        <w:spacing w:line="240" w:lineRule="auto"/>
        <w:ind w:firstLine="632"/>
        <w:jc w:val="both"/>
        <w:rPr>
          <w:rFonts w:ascii="仿宋_GB2312" w:hAnsi="仿宋" w:eastAsia="仿宋_GB2312"/>
          <w:szCs w:val="32"/>
        </w:rPr>
      </w:pPr>
      <w:r>
        <w:rPr>
          <w:rFonts w:hint="eastAsia" w:ascii="仿宋_GB2312" w:hAnsi="仿宋" w:eastAsia="仿宋_GB2312"/>
          <w:szCs w:val="32"/>
        </w:rPr>
        <w:t>——承担勘查单位必须具备与勘查矿种、规模、阶段相适应的地质勘查专业能力。</w:t>
      </w:r>
      <w:r>
        <w:rPr>
          <w:rFonts w:hint="eastAsia" w:ascii="宋体" w:hAnsi="宋体" w:eastAsia="宋体" w:cs="宋体"/>
          <w:szCs w:val="32"/>
        </w:rPr>
        <w:t> </w:t>
      </w:r>
    </w:p>
    <w:p>
      <w:pPr>
        <w:spacing w:line="240" w:lineRule="auto"/>
        <w:ind w:firstLine="632"/>
        <w:jc w:val="both"/>
        <w:rPr>
          <w:rFonts w:ascii="仿宋_GB2312" w:hAnsi="仿宋" w:eastAsia="仿宋_GB2312"/>
          <w:szCs w:val="32"/>
        </w:rPr>
      </w:pPr>
      <w:r>
        <w:rPr>
          <w:rFonts w:hint="eastAsia" w:ascii="仿宋_GB2312" w:hAnsi="仿宋" w:eastAsia="仿宋_GB2312"/>
          <w:szCs w:val="32"/>
        </w:rPr>
        <w:t>——在资源环境承载能力有限的区域内开展商业性勘查工作，应进行环境影响风险评估论证。</w:t>
      </w:r>
      <w:r>
        <w:rPr>
          <w:rFonts w:hint="eastAsia" w:ascii="宋体" w:hAnsi="宋体" w:eastAsia="宋体" w:cs="宋体"/>
          <w:szCs w:val="32"/>
        </w:rPr>
        <w:t> </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——在各类生态环境功能保护区内新设、延续、变更探矿权，必须具备相关行业部门出具的审核意见，必要时需进行环境影响可行性论证。</w:t>
      </w:r>
    </w:p>
    <w:p>
      <w:pPr>
        <w:pStyle w:val="5"/>
        <w:spacing w:before="0" w:after="0" w:line="360" w:lineRule="auto"/>
        <w:ind w:left="0" w:firstLine="632" w:firstLineChars="200"/>
        <w:rPr>
          <w:rFonts w:ascii="楷体_GB2312" w:hAnsi="黑体" w:eastAsia="楷体_GB2312"/>
          <w:sz w:val="32"/>
          <w:szCs w:val="36"/>
        </w:rPr>
      </w:pPr>
      <w:bookmarkStart w:id="83" w:name="_Toc103951229"/>
      <w:r>
        <w:rPr>
          <w:rFonts w:hint="eastAsia" w:ascii="楷体_GB2312" w:hAnsi="黑体" w:eastAsia="楷体_GB2312"/>
          <w:sz w:val="32"/>
          <w:szCs w:val="36"/>
        </w:rPr>
        <w:t>（四）完善探矿权退出机制</w:t>
      </w:r>
      <w:bookmarkEnd w:id="83"/>
    </w:p>
    <w:p>
      <w:pPr>
        <w:pStyle w:val="2"/>
        <w:spacing w:after="0" w:line="240" w:lineRule="auto"/>
        <w:ind w:left="0" w:leftChars="0" w:firstLine="636" w:firstLineChars="0"/>
        <w:jc w:val="both"/>
        <w:rPr>
          <w:rFonts w:ascii="仿宋_GB2312" w:hAnsi="仿宋" w:eastAsia="仿宋_GB2312"/>
          <w:szCs w:val="32"/>
        </w:rPr>
      </w:pPr>
      <w:r>
        <w:rPr>
          <w:rFonts w:hint="eastAsia" w:ascii="仿宋_GB2312" w:hAnsi="仿宋" w:eastAsia="仿宋_GB2312"/>
          <w:szCs w:val="32"/>
        </w:rPr>
        <w:t>——对不符合国土空间管制要求的探矿权应依法依规限期整改或退出。</w:t>
      </w:r>
    </w:p>
    <w:p>
      <w:pPr>
        <w:pStyle w:val="2"/>
        <w:spacing w:after="0" w:line="240" w:lineRule="auto"/>
        <w:ind w:left="0" w:leftChars="0" w:firstLine="636" w:firstLineChars="0"/>
        <w:jc w:val="both"/>
        <w:rPr>
          <w:rFonts w:ascii="仿宋_GB2312" w:hAnsi="仿宋" w:eastAsia="仿宋_GB2312"/>
          <w:szCs w:val="32"/>
        </w:rPr>
      </w:pPr>
      <w:r>
        <w:rPr>
          <w:rFonts w:hint="eastAsia" w:ascii="仿宋_GB2312" w:hAnsi="仿宋" w:eastAsia="仿宋_GB2312"/>
          <w:szCs w:val="32"/>
        </w:rPr>
        <w:t>——对圈而不探、以采代探、非法转让、超过探矿权保留期限且不符合探矿权保留条件、探矿权人自愿放弃的依规退出。</w:t>
      </w:r>
    </w:p>
    <w:p>
      <w:pPr>
        <w:pStyle w:val="2"/>
        <w:spacing w:after="0" w:line="240" w:lineRule="auto"/>
        <w:ind w:left="0" w:leftChars="0" w:firstLine="636" w:firstLineChars="0"/>
        <w:jc w:val="both"/>
        <w:rPr>
          <w:rFonts w:ascii="仿宋_GB2312" w:hAnsi="仿宋" w:eastAsia="仿宋_GB2312"/>
          <w:szCs w:val="32"/>
        </w:rPr>
      </w:pPr>
      <w:r>
        <w:rPr>
          <w:rFonts w:hint="eastAsia" w:ascii="仿宋_GB2312" w:hAnsi="仿宋" w:eastAsia="仿宋_GB2312"/>
          <w:szCs w:val="32"/>
        </w:rPr>
        <w:t>——已设探矿权的省级财政资金、地方财政出资完成的公益性地质勘查项目，在完成规定的勘查工作后及时注销探矿权。</w:t>
      </w:r>
    </w:p>
    <w:p>
      <w:pPr>
        <w:pStyle w:val="4"/>
        <w:spacing w:before="0" w:after="0" w:line="360" w:lineRule="auto"/>
        <w:ind w:firstLine="632" w:firstLineChars="200"/>
        <w:rPr>
          <w:rFonts w:ascii="黑体" w:hAnsi="黑体"/>
          <w:sz w:val="32"/>
        </w:rPr>
      </w:pPr>
      <w:bookmarkStart w:id="84" w:name="_Toc103951230"/>
      <w:r>
        <w:rPr>
          <w:rFonts w:hint="eastAsia" w:ascii="黑体" w:hAnsi="黑体"/>
          <w:sz w:val="32"/>
        </w:rPr>
        <w:t>五、矿产资源开发利用与保护</w:t>
      </w:r>
      <w:bookmarkEnd w:id="84"/>
    </w:p>
    <w:p>
      <w:pPr>
        <w:autoSpaceDE w:val="0"/>
        <w:autoSpaceDN w:val="0"/>
        <w:adjustRightInd w:val="0"/>
        <w:spacing w:line="240" w:lineRule="auto"/>
        <w:ind w:firstLine="632"/>
        <w:jc w:val="both"/>
        <w:rPr>
          <w:rFonts w:ascii="仿宋_GB2312" w:eastAsia="仿宋_GB2312"/>
          <w:sz w:val="24"/>
        </w:rPr>
      </w:pPr>
      <w:r>
        <w:rPr>
          <w:rFonts w:hint="eastAsia" w:ascii="仿宋_GB2312" w:hAnsi="仿宋" w:eastAsia="仿宋_GB2312"/>
          <w:szCs w:val="32"/>
        </w:rPr>
        <w:t>按照统筹规划、因地制宜、发挥优势、规模开采、集约利用、协调发展的总体思路，以市场为导向，以资源为基础，以矿产后续加工产业为依托，合理确定矿产资源开发利用方向、总量调控与规划分区，合理配置资源，进一步调整和优化开发利用空间布局。规范开采准入条件，严格开采准入管理，强化矿业供给侧结构性改革，促进资源开发与区域发展、环境保护、资源保护相协调。</w:t>
      </w:r>
    </w:p>
    <w:p>
      <w:pPr>
        <w:pStyle w:val="5"/>
        <w:spacing w:before="0" w:after="0" w:line="360" w:lineRule="auto"/>
        <w:ind w:left="0" w:firstLine="632" w:firstLineChars="200"/>
        <w:rPr>
          <w:rFonts w:ascii="楷体_GB2312" w:hAnsi="黑体" w:eastAsia="楷体_GB2312"/>
          <w:sz w:val="32"/>
          <w:szCs w:val="36"/>
        </w:rPr>
      </w:pPr>
      <w:bookmarkStart w:id="85" w:name="_Toc103951231"/>
      <w:r>
        <w:rPr>
          <w:rFonts w:hint="eastAsia" w:ascii="楷体_GB2312" w:hAnsi="黑体" w:eastAsia="楷体_GB2312"/>
          <w:sz w:val="32"/>
          <w:szCs w:val="36"/>
        </w:rPr>
        <w:t>（一）开发利用方向及总量调控</w:t>
      </w:r>
      <w:bookmarkEnd w:id="85"/>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1.开发利用方向</w:t>
      </w:r>
    </w:p>
    <w:p>
      <w:pPr>
        <w:spacing w:line="240" w:lineRule="auto"/>
        <w:ind w:firstLine="632"/>
        <w:jc w:val="both"/>
        <w:rPr>
          <w:rFonts w:ascii="仿宋_GB2312" w:hAnsi="仿宋" w:eastAsia="仿宋_GB2312"/>
          <w:szCs w:val="32"/>
        </w:rPr>
      </w:pPr>
      <w:r>
        <w:rPr>
          <w:rFonts w:hint="eastAsia" w:ascii="仿宋_GB2312" w:hAnsi="仿宋" w:eastAsia="仿宋_GB2312"/>
          <w:szCs w:val="32"/>
        </w:rPr>
        <w:t>围绕国家战略及支撑服务地方经济社会发展的需求，以湖北省矿产资源勘查开发功能分区为主导，结合随州市市情、矿情实际，在满足国家、省和随州市需求的条件下，提出重点、限制和禁止矿产资源开发利用的方向，以促进社会经济发展。</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（1）重点开采矿种</w:t>
      </w:r>
    </w:p>
    <w:p>
      <w:pPr>
        <w:spacing w:line="240" w:lineRule="auto"/>
        <w:ind w:firstLine="632"/>
        <w:jc w:val="both"/>
        <w:rPr>
          <w:rFonts w:ascii="仿宋_GB2312" w:hAnsi="仿宋" w:eastAsia="仿宋_GB2312"/>
          <w:szCs w:val="32"/>
        </w:rPr>
      </w:pPr>
      <w:r>
        <w:rPr>
          <w:rFonts w:hint="eastAsia" w:ascii="仿宋_GB2312" w:hAnsi="仿宋" w:eastAsia="仿宋_GB2312"/>
          <w:szCs w:val="32"/>
        </w:rPr>
        <w:t>重点开采资源禀赋条件较好、在矿业产业链供应链中具有重要地位的矿种。随州市重点开采矿种主要有：金（砂金除外）、银、铜、铁（高磷铁矿和超贫磁铁矿除外）、地热、矿泉水、饰面用花岗岩、长石、重晶石、建筑用石料等矿种，重点开采矿种在符合规划准入条件的前提下，优先划定重点开采矿种开采规划区块，调整优化开发利用布局和结构，提高资源供应能力和开发利用水平。</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（2）限制开采矿种</w:t>
      </w:r>
    </w:p>
    <w:p>
      <w:pPr>
        <w:spacing w:line="240" w:lineRule="auto"/>
        <w:ind w:firstLine="632"/>
        <w:jc w:val="both"/>
        <w:rPr>
          <w:rFonts w:ascii="仿宋_GB2312" w:hAnsi="仿宋" w:eastAsia="仿宋_GB2312"/>
          <w:szCs w:val="32"/>
        </w:rPr>
      </w:pPr>
      <w:r>
        <w:rPr>
          <w:rFonts w:hint="eastAsia" w:ascii="仿宋_GB2312" w:hAnsi="仿宋" w:eastAsia="仿宋_GB2312"/>
          <w:szCs w:val="32"/>
        </w:rPr>
        <w:t>在相关技术取得突破前，原则上限制开采</w:t>
      </w:r>
      <w:bookmarkEnd w:id="80"/>
      <w:bookmarkEnd w:id="81"/>
      <w:bookmarkEnd w:id="82"/>
      <w:bookmarkStart w:id="86" w:name="_Toc253051342"/>
      <w:bookmarkStart w:id="87" w:name="_Toc190809664"/>
      <w:r>
        <w:rPr>
          <w:rFonts w:hint="eastAsia" w:ascii="仿宋_GB2312" w:hAnsi="仿宋" w:eastAsia="仿宋_GB2312"/>
          <w:szCs w:val="32"/>
        </w:rPr>
        <w:t>煤、超贫磁铁矿、铌、钽、稀土、普通萤石、砂金、砂铁等，以及尚难利用、对环境影响较大矿种。严格控制限制开采矿种开采规划区块数量和开采强度，提高开采准入门槛，严格执行国家和省下达的年度开采总量控制指标</w:t>
      </w:r>
      <w:bookmarkEnd w:id="86"/>
      <w:bookmarkEnd w:id="87"/>
      <w:r>
        <w:rPr>
          <w:rFonts w:hint="eastAsia" w:ascii="仿宋_GB2312" w:hAnsi="仿宋" w:eastAsia="仿宋_GB2312"/>
          <w:szCs w:val="32"/>
        </w:rPr>
        <w:t>。</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（3）禁止开采矿种</w:t>
      </w:r>
    </w:p>
    <w:p>
      <w:pPr>
        <w:spacing w:line="240" w:lineRule="auto"/>
        <w:ind w:firstLine="632"/>
        <w:jc w:val="both"/>
        <w:rPr>
          <w:rFonts w:ascii="仿宋_GB2312" w:hAnsi="仿宋" w:eastAsia="仿宋_GB2312"/>
          <w:szCs w:val="32"/>
        </w:rPr>
      </w:pPr>
      <w:r>
        <w:rPr>
          <w:rFonts w:hint="eastAsia" w:ascii="仿宋_GB2312" w:hAnsi="仿宋" w:eastAsia="仿宋_GB2312"/>
          <w:szCs w:val="32"/>
        </w:rPr>
        <w:t>禁止开采可耕地砖瓦用粘土，禁止将水泥用灰岩、制灰用灰岩、冶金用白云岩等优质石灰岩、白云岩作为普通建筑用石料开采。</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2.矿产资源总量调控</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szCs w:val="32"/>
        </w:rPr>
        <w:t>根据国家产业政策、省级规划以及矿山实际生产情况，为加强矿产资源开采总量调控力度，巩固特色矿产开发地位，对主要矿产开采总量进行资源优化配置，保持矿产资源开发总量与社会经济发展水平相适应，实现矿产资源供需总量基本平衡。</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（1）金矿</w:t>
      </w:r>
    </w:p>
    <w:p>
      <w:pPr>
        <w:pStyle w:val="2"/>
        <w:spacing w:after="0" w:line="240" w:lineRule="auto"/>
        <w:ind w:left="0" w:leftChars="0" w:firstLine="638" w:firstLineChars="202"/>
        <w:jc w:val="both"/>
        <w:rPr>
          <w:rFonts w:ascii="仿宋_GB2312" w:hAnsi="仿宋" w:eastAsia="仿宋_GB2312"/>
          <w:szCs w:val="32"/>
        </w:rPr>
      </w:pPr>
      <w:r>
        <w:rPr>
          <w:rFonts w:hint="eastAsia" w:ascii="仿宋_GB2312" w:hAnsi="仿宋" w:eastAsia="仿宋_GB2312"/>
          <w:szCs w:val="32"/>
        </w:rPr>
        <w:t>金矿是随州市有潜力的矿种，域内分布有众多金矿床，但规模不大，这些年随着国家经济建设需要，持续投入矿山建设。</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（2）铁矿</w:t>
      </w:r>
    </w:p>
    <w:p>
      <w:pPr>
        <w:spacing w:line="240" w:lineRule="auto"/>
        <w:ind w:firstLine="632"/>
        <w:jc w:val="both"/>
        <w:rPr>
          <w:rFonts w:ascii="仿宋_GB2312" w:hAnsi="仿宋" w:eastAsia="仿宋_GB2312"/>
          <w:szCs w:val="32"/>
        </w:rPr>
      </w:pPr>
      <w:r>
        <w:rPr>
          <w:rFonts w:hint="eastAsia" w:ascii="仿宋_GB2312" w:hAnsi="仿宋" w:eastAsia="仿宋_GB2312"/>
          <w:szCs w:val="32"/>
        </w:rPr>
        <w:t>随州市内铁矿资源规模较小，铁矿品位较低，属于省内较分散的铁矿资源。以老矿山调整，探矿权转采后资源整合为主要部署。规划期内如铁矿石价格继续上扬，需求增加，达到准入标准，则以恢复现有铁矿山产量为主要目标。</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（3）普通萤石</w:t>
      </w:r>
    </w:p>
    <w:p>
      <w:pPr>
        <w:spacing w:line="240" w:lineRule="auto"/>
        <w:ind w:firstLine="632"/>
        <w:jc w:val="both"/>
        <w:rPr>
          <w:rFonts w:ascii="仿宋_GB2312" w:hAnsi="仿宋" w:eastAsia="仿宋_GB2312"/>
          <w:szCs w:val="32"/>
        </w:rPr>
      </w:pPr>
      <w:r>
        <w:rPr>
          <w:rFonts w:hint="eastAsia" w:ascii="仿宋_GB2312" w:hAnsi="仿宋" w:eastAsia="仿宋_GB2312"/>
          <w:szCs w:val="32"/>
        </w:rPr>
        <w:t>随州市普通萤石主要分布于随县的殷店镇和广水的吴店镇一带。规划期内重点关闭一批长期停采矿山，调整一批生产规模较小的矿山，鼓励矿山进行技改，延长矿山服务年限，提高选矿加工技术水平，充分利用粉碎矿和中低品位矿石，提高资源利用效率。规划期内萤石开采规模保持在国家下达的控制指标之内。</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（4）地热、矿泉水</w:t>
      </w:r>
    </w:p>
    <w:p>
      <w:pPr>
        <w:pStyle w:val="2"/>
        <w:spacing w:after="0" w:line="240" w:lineRule="auto"/>
        <w:ind w:left="0" w:leftChars="0" w:firstLine="638" w:firstLineChars="202"/>
        <w:jc w:val="both"/>
        <w:rPr>
          <w:rFonts w:ascii="仿宋_GB2312" w:hAnsi="仿宋" w:eastAsia="仿宋_GB2312"/>
          <w:szCs w:val="32"/>
        </w:rPr>
      </w:pPr>
      <w:r>
        <w:rPr>
          <w:rFonts w:hint="eastAsia" w:ascii="仿宋_GB2312" w:hAnsi="仿宋" w:eastAsia="仿宋_GB2312"/>
          <w:szCs w:val="32"/>
        </w:rPr>
        <w:t>地热、矿泉水作为新兴矿产资源，绿色环保，推进地热、矿泉水综合开发利用，对于践行绿色发展理念，建设生态宜居美丽随州具有重要意义，是推进城市化建设和美丽乡村建设、改善群众生活质量的有效途径。</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b/>
          <w:szCs w:val="32"/>
        </w:rPr>
        <w:t>（5）饰面用花岗岩</w:t>
      </w:r>
    </w:p>
    <w:p>
      <w:pPr>
        <w:pStyle w:val="2"/>
        <w:spacing w:after="0" w:line="240" w:lineRule="auto"/>
        <w:ind w:left="0" w:leftChars="0" w:firstLine="638" w:firstLineChars="202"/>
        <w:jc w:val="both"/>
        <w:rPr>
          <w:rFonts w:ascii="仿宋_GB2312" w:hAnsi="仿宋" w:eastAsia="仿宋_GB2312"/>
          <w:szCs w:val="32"/>
        </w:rPr>
      </w:pPr>
      <w:r>
        <w:rPr>
          <w:rFonts w:hint="eastAsia" w:ascii="仿宋_GB2312" w:hAnsi="仿宋" w:eastAsia="仿宋_GB2312"/>
          <w:szCs w:val="32"/>
        </w:rPr>
        <w:t>主要集中分布于随县万和、吴山一带，是随州市特色矿产，资源充足，且潜力巨大。为完善石材产业机制，进一步完善矿产资源开发联合会商制度、石材产业资源开发总量控制及开矿权“零”增长机制，严格控制矿产资源开采开发强度，严查超量超范围开采行为。按本次规划精神优化矿业权配置；严格执行国家、省关于石材矿山开采、加工的相关要求及矿山开发利用和绿色矿山标准；督促矿山企业落实边开采边恢复治理。加强对石材开采、加工的监管，强化动态巡查，对违法违规行为做到“早发现、早制止，早上报、早教育”。加大执法打击力度。严格执法，加大执法打击力度，对石材开采、加工违法违规行为，做到露头就打，不留死角，对重大典型案例，及时曝光，达到处理一案，教育一片的效果。推进矿山规范与达标，彻底改变矿山生产散、乱状态，实现矿区生产正规化、规模化和集约化。改进矿山开采及加工工艺，提高荒料利用率和废石、尾渣综合利用水平，变废为宝，新建饰面用花岗岩矿山需配建与开采规模产生废石数量相适应的机制砂石生产基地。加强对石材废物运输处置监管，设置固定堆放场，严禁乱堆乱放，严控粉尘污染，实现生产废水循环利用，打造“绿色矿山、清洁园区、循环产业”。</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b/>
          <w:szCs w:val="32"/>
        </w:rPr>
        <w:t>（6）长石</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长石是随州市的特色矿产，主要产出于七尖峰岩体外围，分布于吴山镇北部、唐镇北端、万和镇西南部一带。</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b/>
          <w:szCs w:val="32"/>
        </w:rPr>
        <w:t>（7）重晶石</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szCs w:val="32"/>
        </w:rPr>
        <w:t>重晶石为随州市特色矿种，规划期产能逐渐恢复。</w:t>
      </w:r>
    </w:p>
    <w:p>
      <w:pPr>
        <w:pStyle w:val="2"/>
        <w:spacing w:after="0" w:line="240" w:lineRule="auto"/>
        <w:ind w:left="0" w:leftChars="0" w:firstLine="638" w:firstLineChars="202"/>
        <w:jc w:val="both"/>
        <w:rPr>
          <w:rFonts w:ascii="仿宋_GB2312" w:hAnsi="仿宋" w:eastAsia="仿宋_GB2312"/>
          <w:b/>
          <w:szCs w:val="32"/>
        </w:rPr>
      </w:pPr>
      <w:r>
        <w:rPr>
          <w:rFonts w:hint="eastAsia" w:ascii="仿宋_GB2312" w:hAnsi="仿宋" w:eastAsia="仿宋_GB2312"/>
          <w:b/>
          <w:szCs w:val="32"/>
        </w:rPr>
        <w:t>（8）建筑石料类矿产</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基于随州市新型城镇化建设和涉及随州市铁路、公路等基础设施建设的需要，遵循稳中求进的方针，增加矿石产量；鼓励集约、规模化开采，加强饰面用花岗岩废弃资源利用，严格控制小规模分散开采矿山数量。</w:t>
      </w:r>
    </w:p>
    <w:p>
      <w:pPr>
        <w:pStyle w:val="5"/>
        <w:spacing w:before="0" w:after="0" w:line="360" w:lineRule="auto"/>
        <w:ind w:left="0" w:firstLine="632" w:firstLineChars="200"/>
        <w:rPr>
          <w:rFonts w:ascii="楷体_GB2312" w:hAnsi="黑体" w:eastAsia="楷体_GB2312"/>
          <w:sz w:val="32"/>
          <w:szCs w:val="36"/>
        </w:rPr>
      </w:pPr>
      <w:bookmarkStart w:id="88" w:name="_Toc103951232"/>
      <w:r>
        <w:rPr>
          <w:rFonts w:hint="eastAsia" w:ascii="楷体_GB2312" w:hAnsi="黑体" w:eastAsia="楷体_GB2312"/>
          <w:sz w:val="32"/>
          <w:szCs w:val="36"/>
        </w:rPr>
        <w:t>（二）矿产资源开发利用布局</w:t>
      </w:r>
      <w:bookmarkEnd w:id="88"/>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1.开采规划分区</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（1）重点开采区</w:t>
      </w:r>
    </w:p>
    <w:p>
      <w:pPr>
        <w:spacing w:line="240" w:lineRule="auto"/>
        <w:ind w:firstLine="632"/>
        <w:jc w:val="both"/>
        <w:rPr>
          <w:rFonts w:ascii="仿宋_GB2312" w:hAnsi="仿宋" w:eastAsia="仿宋_GB2312"/>
          <w:szCs w:val="32"/>
        </w:rPr>
      </w:pPr>
      <w:r>
        <w:rPr>
          <w:rFonts w:hint="eastAsia" w:ascii="仿宋_GB2312" w:hAnsi="仿宋" w:eastAsia="仿宋_GB2312"/>
          <w:szCs w:val="32"/>
        </w:rPr>
        <w:t>根据国家产业政策、经济社会发展及资源环境保护的要求，在满足经济、技术、安全、环境等条件的前提下，在资源量大、开发利用条件好，随州市优势特色矿种饰面用花岗岩集中分布区域进行重点开采分区，优化矿产开发布局，指导开采规划区块合理设置。</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（2）建筑用砂石类矿产集中开采区</w:t>
      </w:r>
    </w:p>
    <w:p>
      <w:pPr>
        <w:pStyle w:val="2"/>
        <w:spacing w:after="0" w:line="240" w:lineRule="auto"/>
        <w:ind w:left="0" w:leftChars="0" w:firstLine="632"/>
        <w:jc w:val="both"/>
        <w:rPr>
          <w:rFonts w:ascii="仿宋_GB2312" w:hAnsi="仿宋" w:eastAsia="仿宋_GB2312"/>
          <w:szCs w:val="32"/>
        </w:rPr>
      </w:pPr>
      <w:r>
        <w:rPr>
          <w:rFonts w:ascii="仿宋_GB2312" w:hAnsi="仿宋" w:eastAsia="仿宋_GB2312"/>
          <w:szCs w:val="32"/>
        </w:rPr>
        <w:t>全市划定建筑用砂石类矿产集中开采区主要集中在广水市</w:t>
      </w:r>
      <w:r>
        <w:rPr>
          <w:rFonts w:hint="eastAsia" w:ascii="仿宋_GB2312" w:hAnsi="仿宋" w:eastAsia="仿宋_GB2312"/>
          <w:szCs w:val="32"/>
        </w:rPr>
        <w:t>，区内现有矿山集中、资源储量丰富、交通便利、需求较大，具备规模化开采条件，且具有一定生态环境承载能力。</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2.开采规划区块</w:t>
      </w:r>
    </w:p>
    <w:p>
      <w:pPr>
        <w:spacing w:line="240" w:lineRule="auto"/>
        <w:ind w:firstLine="632"/>
        <w:jc w:val="both"/>
        <w:rPr>
          <w:rFonts w:ascii="仿宋_GB2312" w:hAnsi="仿宋" w:eastAsia="仿宋_GB2312"/>
          <w:szCs w:val="32"/>
        </w:rPr>
      </w:pPr>
      <w:r>
        <w:rPr>
          <w:rFonts w:hint="eastAsia" w:ascii="仿宋_GB2312" w:hAnsi="仿宋" w:eastAsia="仿宋_GB2312"/>
          <w:szCs w:val="32"/>
        </w:rPr>
        <w:t>综合地理、地质、构造、资源禀赋条件、矿床规模、开采方式，以及经济技术评价结论、生产安全条件、产业政策、最低开采规模、矿区工业位置等因素，在重点开采区、地质勘查工作程度符合转采要求的区域，合理划分开采规划区块，指导采矿权合理设置。</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开采规划区块是矿业权设置和调整的主要依据之一，根据矿产资源分类分级管理要求，严格按开采规划区块设置采矿权。规划期内，勘查规划区块勘查程度达到转采要求的，经综合论证，可动态调整为开采规划区块。依据矿区的资源储量,确定开采规模，根据产业布局及供需形势确定采矿权投放时序和数量。一个开采规划区块内原则上只设置一个开采主体；开采规划区块确需分割或合并时，必须进行规划合理性论证并调整规划, 确保分割区块与整体区块的关联以及与矿区总体开发的衔接。按照“保障发展，供需平衡”的原则，优先部署重点开采区内的采矿活动。</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3.采矿权设置与投放</w:t>
      </w:r>
    </w:p>
    <w:p>
      <w:pPr>
        <w:pStyle w:val="50"/>
        <w:spacing w:line="240" w:lineRule="auto"/>
        <w:ind w:firstLine="632"/>
        <w:rPr>
          <w:rFonts w:ascii="仿宋_GB2312" w:hAnsi="仿宋" w:eastAsia="仿宋_GB2312"/>
          <w:szCs w:val="32"/>
        </w:rPr>
      </w:pPr>
      <w:r>
        <w:rPr>
          <w:rFonts w:hint="eastAsia" w:ascii="仿宋_GB2312" w:hAnsi="仿宋" w:eastAsia="仿宋_GB2312"/>
          <w:szCs w:val="32"/>
        </w:rPr>
        <w:t>根据本地区经济社会发展需求，合理投放采矿权。采矿权的投放要严格审查，必须满足准入要求。</w:t>
      </w:r>
    </w:p>
    <w:p>
      <w:pPr>
        <w:pStyle w:val="5"/>
        <w:spacing w:before="0" w:after="0" w:line="360" w:lineRule="auto"/>
        <w:ind w:left="0" w:firstLine="632" w:firstLineChars="200"/>
        <w:rPr>
          <w:rFonts w:ascii="楷体_GB2312" w:hAnsi="黑体" w:eastAsia="楷体_GB2312"/>
          <w:sz w:val="32"/>
          <w:szCs w:val="36"/>
        </w:rPr>
      </w:pPr>
      <w:bookmarkStart w:id="89" w:name="_Toc103951233"/>
      <w:r>
        <w:rPr>
          <w:rFonts w:hint="eastAsia" w:ascii="楷体_GB2312" w:hAnsi="黑体" w:eastAsia="楷体_GB2312"/>
          <w:sz w:val="32"/>
          <w:szCs w:val="36"/>
        </w:rPr>
        <w:t>（三）矿产资源开发利用结构</w:t>
      </w:r>
      <w:bookmarkEnd w:id="89"/>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1.结构调整和优化方向</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（1）矿山企业开采规模结构调整</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提高矿业开发集中度，不断优化矿业布局；矿业生产总量适度增长，矿山总数适量压减；矿山开采规模与矿床资源量规模相匹配，遏制大矿小开、一矿多开；提高大、中型矿山企业比例，加快大、中型矿山企业改组、改制和资产重组，加快小型矿山整改联合，提高采选技术水平，促进矿山企业向规模化、集约化转变，对不符合生产条件、开采规模与矿区资源量规模不匹配、大矿小开的矿山企业予以整改或关闭。做大做强随州市饰面用花岗岩、长石、重晶石等矿种产业。</w:t>
      </w:r>
      <w:r>
        <w:rPr>
          <w:rFonts w:hint="eastAsia" w:ascii="仿宋_GB2312" w:hAnsi="宋体" w:eastAsia="仿宋_GB2312" w:cs="宋体"/>
          <w:szCs w:val="32"/>
        </w:rPr>
        <w:t> </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（2）矿业技术、产品、采选冶结构调整</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推广先进适用的采选方法、技术、工艺和设备，淘汰落后采选方法、技术、工艺、设备和产品，重点提高金属矿产的采选能力，增强饰面用花岗岩、长石、重晶石等非金属矿产精深加工产品开发和生产能力，延长产业链和产品链，提高产品技术含量和附加值，推进矿业技术高新化。</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w:t>
      </w:r>
      <w:r>
        <w:rPr>
          <w:rFonts w:hint="eastAsia"/>
        </w:rPr>
        <w:t xml:space="preserve"> </w:t>
      </w:r>
      <w:r>
        <w:rPr>
          <w:rFonts w:hint="eastAsia" w:ascii="仿宋_GB2312" w:hAnsi="仿宋" w:eastAsia="仿宋_GB2312"/>
          <w:b/>
          <w:szCs w:val="32"/>
        </w:rPr>
        <w:t>矿山最低开采规模及最低服务年限</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（1）矿山最低开采规模</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根据国家有关产业政策和随州市资源特点及开发利用现状，按照《省人民政府关于进一步加强非煤矿山安全生产工作的意见》（鄂政发〔2015〕53号）和《湖北省矿产资源总体规划（2021—2025年）》等文件要求，优化矿产资源供给结构，制定随州市主要矿种矿山最低开采规模指标。</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规划期内不再新建年采矿石量低于3万吨的银矿、铜矿、普通萤石、重晶石以及地下开采的金（岩金）、10万吨的铝土矿、钼矿以及地下开采的铁矿，不再新建日处理岩金矿石100吨以下的地下采选项目。新建矿泉水、地热最低开采规模达中型及以上，即矿泉水年开采规模不低于5万立方米，地热年开采规模不低于10万立方米。</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新建建筑石料矿山，生产规模不低于30万吨/年，鼓励辖区内有条件的县市区提高最低生产规模。新建饰面用花岗岩矿山不低于10万立方米/年。</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（2）矿山最低服务年限</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按照《省人民政府关于进一步加强非煤矿山安全生产工作的意见》（鄂政发〔2015〕53号）相关规定，矿山开采最低服务年限原则上不得少于5年。</w:t>
      </w:r>
    </w:p>
    <w:p>
      <w:pPr>
        <w:pStyle w:val="5"/>
        <w:spacing w:before="0" w:after="0" w:line="360" w:lineRule="auto"/>
        <w:ind w:left="0" w:firstLine="632" w:firstLineChars="200"/>
        <w:rPr>
          <w:rFonts w:ascii="楷体_GB2312" w:hAnsi="黑体" w:eastAsia="楷体_GB2312"/>
          <w:sz w:val="32"/>
          <w:szCs w:val="36"/>
        </w:rPr>
      </w:pPr>
      <w:bookmarkStart w:id="90" w:name="_Toc103951234"/>
      <w:r>
        <w:rPr>
          <w:rFonts w:hint="eastAsia" w:ascii="楷体_GB2312" w:hAnsi="黑体" w:eastAsia="楷体_GB2312"/>
          <w:sz w:val="32"/>
          <w:szCs w:val="36"/>
        </w:rPr>
        <w:t>（四）矿产资源节约及综合利用</w:t>
      </w:r>
      <w:bookmarkEnd w:id="90"/>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1.矿产资源综合评价、综合利用</w:t>
      </w:r>
    </w:p>
    <w:p>
      <w:pPr>
        <w:tabs>
          <w:tab w:val="left" w:pos="532"/>
        </w:tabs>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对具有开发利用价值的主矿、共伴生矿必须统一规划，综合勘查、综合评价，最大限度地开采、提取和回收矿产资源，对暂难利用的共伴生矿应制定相应的资源保护措施。</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重点对金、银矿床的共、伴生的铅、锌，石材类矿床中其他不同用途的石料等矿产的综合回收利用。严格执行《湖北省资源综合利用条例》，坚决推行共、伴生矿与主矿同时勘查、同时评价、同时设计、同时开采、同时回收利用；引导和促进矿山企业提高资源利用率；清理整顿资源浪费严重、生态环境恶化的矿山企业，鼓励和支持矿山企业采用新工艺、新技术，进一步提高矿山企业“三率”水平。</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2.尾矿、固体废弃物综合利用</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在对矿山尾矿和固体废弃物综合评价的基础上，确定不同尾矿及固体废弃物的开发利用方向。</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——元素类尾矿：主要开展金、银、铜、铅、锌等有价元素的提取技术研究， 通过开发应用新的选矿技术、药剂和设备充分回收有价元素；</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——矿山开采遗存的碎石渣、选冶后的矿渣：可二次开发利用，主要开展加工利用和延长产业链技术研究，开发粘土制砖、陶瓷等新材料或替代材料等;</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建材类尾矿：主要开展加工利用和延长产业链技术研究，开发机制砂、建材、耐火新材料或替代材料等；规划期内重点研究随县吴山—万和饰面用花岗岩矿区的固体废弃物和锯泥的综合利用，引导企业研究有实际应用意义的科研方案。</w:t>
      </w:r>
    </w:p>
    <w:p>
      <w:pPr>
        <w:autoSpaceDE w:val="0"/>
        <w:autoSpaceDN w:val="0"/>
        <w:spacing w:line="240" w:lineRule="auto"/>
        <w:ind w:firstLine="641" w:firstLineChars="0"/>
        <w:jc w:val="both"/>
        <w:rPr>
          <w:rFonts w:ascii="仿宋_GB2312" w:hAnsi="仿宋" w:eastAsia="仿宋_GB2312"/>
          <w:szCs w:val="32"/>
        </w:rPr>
      </w:pPr>
      <w:r>
        <w:rPr>
          <w:rFonts w:hint="eastAsia" w:ascii="仿宋_GB2312" w:hAnsi="仿宋" w:eastAsia="仿宋_GB2312"/>
          <w:szCs w:val="32"/>
        </w:rPr>
        <w:t>此外，做好矿山尾矿生态环境治理恢复，避免水土流失。</w:t>
      </w:r>
    </w:p>
    <w:p>
      <w:pPr>
        <w:pStyle w:val="5"/>
        <w:spacing w:before="0" w:after="0" w:line="360" w:lineRule="auto"/>
        <w:ind w:left="0" w:firstLine="632" w:firstLineChars="200"/>
        <w:rPr>
          <w:rFonts w:ascii="楷体_GB2312" w:hAnsi="黑体" w:eastAsia="楷体_GB2312"/>
          <w:sz w:val="32"/>
          <w:szCs w:val="36"/>
        </w:rPr>
      </w:pPr>
      <w:bookmarkStart w:id="91" w:name="_Toc103951235"/>
      <w:r>
        <w:rPr>
          <w:rFonts w:hint="eastAsia" w:ascii="楷体_GB2312" w:hAnsi="黑体" w:eastAsia="楷体_GB2312"/>
          <w:sz w:val="32"/>
          <w:szCs w:val="36"/>
        </w:rPr>
        <w:t>（五）安全生产与监管</w:t>
      </w:r>
      <w:bookmarkEnd w:id="91"/>
    </w:p>
    <w:p>
      <w:pPr>
        <w:autoSpaceDE w:val="0"/>
        <w:autoSpaceDN w:val="0"/>
        <w:spacing w:line="240" w:lineRule="auto"/>
        <w:ind w:firstLine="632"/>
        <w:jc w:val="both"/>
        <w:rPr>
          <w:rFonts w:ascii="仿宋_GB2312" w:hAnsi="仿宋" w:eastAsia="仿宋_GB2312"/>
          <w:szCs w:val="32"/>
        </w:rPr>
      </w:pPr>
      <w:r>
        <w:rPr>
          <w:rFonts w:hint="eastAsia" w:ascii="仿宋_GB2312" w:hAnsi="仿宋" w:eastAsia="仿宋_GB2312"/>
          <w:szCs w:val="32"/>
        </w:rPr>
        <w:t>按照《中共中央国务院关于推进安全生产领域改革发展的意见》（中发〔2016〕32号）等国家和省有关安全文件要求，“管行业必须管安全，管业务必须管安全,管生产必须管安全”和“谁主管谁负责”的原则，切实加强矿山安全生产监管，压实安全生产责任，维护矿山安全生产形势稳定。</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坚持以人为本，安全发展，坚守发展决不能以牺牲人的生命为代价这条不可逾越的红线和遏制重特大事故发生这条底线，坚持“安全第一、预防为主、综合治理”的安全生产方针，坚持科技兴安、管理强安、产业促安，为随州市矿业做强做优做大提供安全保障。坚持依法治安，坚持服务中心，坚持创新驱动，健全落实安全生产责任制，严格落实企业主体责任，按照“党政同责、一岗双责、齐抓共管”的要求，建立任务层层分解、责任层层落实、压力层层传递的工作机制。提升源头防范能力，提升全员履职能力，提升科技支撑能力。加强安全生产源头管控，加强风险识别、评估、管控，实行重大安全风险“一票否决”制。认真吸取事故教训，做到“一厂出事故，万厂受教育”，强化现场监管措施，认真落实各项规章制度，树立守规意识，把严格遵守规章制度作为广大从业人员自觉的行为规范。同时，也要加强安全基础保障能力建设，健全组织机构，加强队伍建设，完善安全投入长效机制，健全安全宣传教育体系、安全考核机制、应急救援管理体制等，把落实安全生产作为矿业活动的第一要务。</w:t>
      </w:r>
    </w:p>
    <w:p>
      <w:pPr>
        <w:pStyle w:val="5"/>
        <w:spacing w:before="0" w:after="0" w:line="360" w:lineRule="auto"/>
        <w:ind w:left="0" w:firstLine="632" w:firstLineChars="200"/>
        <w:rPr>
          <w:rFonts w:ascii="楷体_GB2312" w:hAnsi="黑体" w:eastAsia="楷体_GB2312"/>
          <w:sz w:val="32"/>
          <w:szCs w:val="36"/>
        </w:rPr>
      </w:pPr>
      <w:bookmarkStart w:id="92" w:name="_Toc103951236"/>
      <w:r>
        <w:rPr>
          <w:rFonts w:hint="eastAsia" w:ascii="楷体_GB2312" w:hAnsi="黑体" w:eastAsia="楷体_GB2312"/>
          <w:sz w:val="32"/>
          <w:szCs w:val="36"/>
        </w:rPr>
        <w:t>（六）开采准入条件</w:t>
      </w:r>
      <w:bookmarkEnd w:id="92"/>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 xml:space="preserve">根据《中华人民共和国矿产资源法》《矿产资源开采登记管理办法》及《湖北省矿产资源开采管理条例》等有关法律法规及相关政策，矿产资源开采活动除了必须符合“三条控制线”、生态环境保护产业政策等要求，加强矿山安全生产，提出以下新建和延期矿山开采准入条件： </w:t>
      </w:r>
      <w:r>
        <w:rPr>
          <w:rFonts w:hint="eastAsia" w:ascii="仿宋_GB2312" w:hAnsi="仿宋" w:eastAsia="仿宋_GB2312"/>
          <w:szCs w:val="32"/>
        </w:rPr>
        <w:cr/>
      </w:r>
      <w:r>
        <w:rPr>
          <w:rFonts w:hint="eastAsia" w:ascii="仿宋_GB2312" w:hAnsi="仿宋" w:eastAsia="仿宋_GB2312"/>
          <w:szCs w:val="32"/>
        </w:rPr>
        <w:t xml:space="preserve">    ——矿产资源开发利用必须符合《规划》中矿山总数、开采矿种、开采范围、开采总量、采矿权布局调控等要求。</w:t>
      </w:r>
      <w:r>
        <w:rPr>
          <w:rFonts w:hint="eastAsia" w:ascii="仿宋_GB2312" w:hAnsi="仿宋" w:eastAsia="仿宋_GB2312"/>
          <w:szCs w:val="32"/>
        </w:rPr>
        <w:cr/>
      </w:r>
      <w:r>
        <w:rPr>
          <w:rFonts w:hint="eastAsia" w:ascii="仿宋_GB2312" w:hAnsi="仿宋" w:eastAsia="仿宋_GB2312"/>
          <w:szCs w:val="32"/>
        </w:rPr>
        <w:t xml:space="preserve">    ——矿山规模必须与矿床储量规模相适应,并符合《规划》确定的最低开采规模和最低服务年限。</w:t>
      </w:r>
      <w:r>
        <w:rPr>
          <w:rFonts w:hint="eastAsia" w:ascii="仿宋_GB2312" w:hAnsi="仿宋" w:eastAsia="仿宋_GB2312"/>
          <w:szCs w:val="32"/>
        </w:rPr>
        <w:cr/>
      </w:r>
      <w:r>
        <w:rPr>
          <w:rFonts w:hint="eastAsia" w:ascii="仿宋_GB2312" w:hAnsi="仿宋" w:eastAsia="仿宋_GB2312"/>
          <w:szCs w:val="32"/>
        </w:rPr>
        <w:t xml:space="preserve">    ——矿山企业需具有符合相应规范要求的矿产资源开发利用及生态复绿方案、矿山安全生产预评估报告以及合法的矿山用地手</w:t>
      </w:r>
      <w:bookmarkStart w:id="93" w:name="_Toc190809665"/>
      <w:bookmarkStart w:id="94" w:name="_Toc253051343"/>
      <w:r>
        <w:rPr>
          <w:rFonts w:hint="eastAsia" w:ascii="仿宋_GB2312" w:hAnsi="仿宋" w:eastAsia="仿宋_GB2312"/>
          <w:szCs w:val="32"/>
        </w:rPr>
        <w:t>续等。</w:t>
      </w:r>
      <w:r>
        <w:rPr>
          <w:rFonts w:hint="eastAsia" w:ascii="仿宋_GB2312" w:hAnsi="仿宋" w:eastAsia="仿宋_GB2312"/>
          <w:szCs w:val="32"/>
        </w:rPr>
        <w:cr/>
      </w:r>
      <w:r>
        <w:rPr>
          <w:rFonts w:hint="eastAsia" w:ascii="仿宋_GB2312" w:hAnsi="仿宋" w:eastAsia="仿宋_GB2312"/>
          <w:szCs w:val="32"/>
        </w:rPr>
        <w:t xml:space="preserve">    ——能利用的共、伴生矿产</w:t>
      </w:r>
      <w:bookmarkEnd w:id="93"/>
      <w:bookmarkEnd w:id="94"/>
      <w:r>
        <w:rPr>
          <w:rFonts w:hint="eastAsia" w:ascii="仿宋_GB2312" w:hAnsi="仿宋" w:eastAsia="仿宋_GB2312"/>
          <w:szCs w:val="32"/>
        </w:rPr>
        <w:t>必须制定综合开发利用方案；暂难利用的共伴生矿以及含有益组分的尾矿必须制定有效的保护措施。</w:t>
      </w:r>
    </w:p>
    <w:p>
      <w:pPr>
        <w:pStyle w:val="4"/>
        <w:spacing w:before="0" w:after="0" w:line="360" w:lineRule="auto"/>
        <w:ind w:firstLine="632" w:firstLineChars="200"/>
        <w:rPr>
          <w:rFonts w:ascii="黑体" w:hAnsi="黑体"/>
          <w:sz w:val="32"/>
        </w:rPr>
      </w:pPr>
      <w:bookmarkStart w:id="95" w:name="_Toc103951237"/>
      <w:r>
        <w:rPr>
          <w:rFonts w:hint="eastAsia" w:ascii="黑体" w:hAnsi="黑体"/>
          <w:sz w:val="32"/>
        </w:rPr>
        <w:t>六、绿色矿业与矿区生态保护修复</w:t>
      </w:r>
      <w:bookmarkEnd w:id="95"/>
    </w:p>
    <w:p>
      <w:pPr>
        <w:pStyle w:val="2"/>
        <w:spacing w:after="0" w:line="240" w:lineRule="auto"/>
        <w:ind w:left="0" w:leftChars="0" w:firstLine="632"/>
        <w:jc w:val="both"/>
        <w:rPr>
          <w:rFonts w:ascii="仿宋_GB2312" w:eastAsia="仿宋_GB2312"/>
          <w:sz w:val="24"/>
        </w:rPr>
      </w:pPr>
      <w:r>
        <w:rPr>
          <w:rFonts w:hint="eastAsia" w:ascii="仿宋_GB2312" w:hAnsi="仿宋" w:eastAsia="仿宋_GB2312"/>
          <w:szCs w:val="32"/>
        </w:rPr>
        <w:t>为深入贯彻落实生态文明建设要求，切实践行“两山”理念，加强矿业领域生态文明建设，加快矿业转型与绿色发展，紧密围绕创新、协调、绿色、开放、共享的发展理念，认真履行绿色矿业发展工作新机制，坚持绿色转型与管理改革相互促进，通过政府引导、企业主体，标准领跑、政策扶持，创新机制、强化监管，落实责任、激发活力，将绿色发展理念贯穿于矿产资源规划、勘查、开发利用与保护全过程，全域推进绿色矿山建设，不断提升矿产资源管理与服务效能。</w:t>
      </w:r>
    </w:p>
    <w:p>
      <w:pPr>
        <w:pStyle w:val="5"/>
        <w:spacing w:before="0" w:after="0" w:line="360" w:lineRule="auto"/>
        <w:ind w:left="0" w:firstLine="632" w:firstLineChars="200"/>
        <w:rPr>
          <w:rFonts w:ascii="楷体_GB2312" w:hAnsi="黑体" w:eastAsia="楷体_GB2312"/>
          <w:sz w:val="32"/>
          <w:szCs w:val="36"/>
        </w:rPr>
      </w:pPr>
      <w:bookmarkStart w:id="96" w:name="_Toc103951238"/>
      <w:r>
        <w:rPr>
          <w:rFonts w:hint="eastAsia" w:ascii="楷体_GB2312" w:hAnsi="黑体" w:eastAsia="楷体_GB2312"/>
          <w:sz w:val="32"/>
          <w:szCs w:val="36"/>
        </w:rPr>
        <w:t>（一）绿色勘查</w:t>
      </w:r>
      <w:bookmarkEnd w:id="96"/>
    </w:p>
    <w:p>
      <w:pPr>
        <w:spacing w:line="240" w:lineRule="auto"/>
        <w:ind w:firstLine="634"/>
        <w:jc w:val="both"/>
        <w:rPr>
          <w:rFonts w:ascii="仿宋_GB2312" w:hAnsi="仿宋" w:eastAsia="仿宋_GB2312"/>
          <w:b/>
          <w:szCs w:val="32"/>
        </w:rPr>
      </w:pPr>
      <w:bookmarkStart w:id="97" w:name="_Toc190809666"/>
      <w:bookmarkStart w:id="98" w:name="_Toc253051344"/>
      <w:r>
        <w:rPr>
          <w:rFonts w:hint="eastAsia" w:ascii="仿宋_GB2312" w:hAnsi="仿宋" w:eastAsia="仿宋_GB2312"/>
          <w:b/>
          <w:szCs w:val="32"/>
        </w:rPr>
        <w:t>1.绿色勘查目标</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为践行绿色发展理念，在地质勘查全过程中，落实绿色发展理念，通过运用高效、环保的方法、技术、工艺和设备等，减少或避免对生态环境造成的不利影响，并对环境扰动进行修复，全面推进随州市绿色勘查工作。坚持“保护优先、绿色勘查、依法治理、和谐勘查”的绿色勘查工作方针，实现资源勘查与环境保护相协调，生态效益与经济效益相统一，持续推进绿色勘查工作。通过绿色勘查行动努力实现资源利用与环境保护的系统性平衡，既保护生态环境又提高资源保障能力。</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2.绿色勘查实施</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依据《绿色勘查指南》（T/CMAS 0001-2018）《绿色地质勘查工作规范》（DZ/T 0374-2021）等规范，切实加强绿色勘查工作的组织领导，积极推行绿色勘查标准化管理和制度建设，强化责任意识，明确责任划分，实行分级管理，全面推进绿色勘查。实施绿色勘查，在勘查设计中必须要有生态环境保护专章，从源头上做好地质勘查中的生态环境保护工作，尽可能将对生态环境的影响降到最低；在项目实施过程中，严格监管，明确责任，切实将生态保护措施落到实处；地勘工作结束后，将生态环境保护作为地勘项目检查验收的内容之一，自觉执行地勘工作与生态环境保护同部署、同检查、同考核的“三同时”原则。按照生态文明建设的新要求，做好矿产勘查过程中的环保工作，主动调整勘查工作部署，实施绿色勘查。</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按照“政府主导、行业协同、企业主体、社会监督”以及“管行业必须管绿色勘查、管业务必须管绿色勘查、管找矿必须管绿色勘查”的要求，逐级分解落实绿色勘查责任。</w:t>
      </w:r>
    </w:p>
    <w:p>
      <w:pPr>
        <w:pStyle w:val="2"/>
        <w:spacing w:after="0" w:line="240" w:lineRule="auto"/>
        <w:ind w:left="0" w:leftChars="0" w:firstLine="632"/>
        <w:jc w:val="both"/>
        <w:rPr>
          <w:rFonts w:ascii="仿宋_GB2312" w:hAnsi="仿宋" w:eastAsia="仿宋_GB2312" w:cs="仿宋"/>
          <w:szCs w:val="32"/>
        </w:rPr>
      </w:pPr>
      <w:r>
        <w:rPr>
          <w:rFonts w:hint="eastAsia" w:ascii="仿宋_GB2312" w:hAnsi="仿宋" w:eastAsia="仿宋_GB2312" w:cs="仿宋"/>
          <w:szCs w:val="32"/>
        </w:rPr>
        <w:t>坚持勘查与保护并举，探索“绿色勘查”方式，最大限度减少勘查工作对环境的影响。强化地方政府对地勘项目的协调、服务和监管职责，改善地勘工作外部环境。</w:t>
      </w:r>
    </w:p>
    <w:bookmarkEnd w:id="97"/>
    <w:bookmarkEnd w:id="98"/>
    <w:p>
      <w:pPr>
        <w:pStyle w:val="5"/>
        <w:spacing w:before="0" w:after="0" w:line="360" w:lineRule="auto"/>
        <w:ind w:left="0" w:firstLine="632" w:firstLineChars="200"/>
        <w:rPr>
          <w:rFonts w:ascii="楷体_GB2312" w:hAnsi="黑体" w:eastAsia="楷体_GB2312"/>
          <w:sz w:val="32"/>
          <w:szCs w:val="36"/>
        </w:rPr>
      </w:pPr>
      <w:bookmarkStart w:id="99" w:name="_Toc103951239"/>
      <w:r>
        <w:rPr>
          <w:rFonts w:hint="eastAsia" w:ascii="楷体_GB2312" w:hAnsi="黑体" w:eastAsia="楷体_GB2312"/>
          <w:sz w:val="32"/>
          <w:szCs w:val="36"/>
        </w:rPr>
        <w:t>（二）绿色矿山建设</w:t>
      </w:r>
      <w:bookmarkEnd w:id="99"/>
    </w:p>
    <w:p>
      <w:pPr>
        <w:spacing w:line="240" w:lineRule="auto"/>
        <w:ind w:firstLine="632"/>
        <w:jc w:val="both"/>
        <w:rPr>
          <w:rFonts w:ascii="仿宋_GB2312" w:hAnsi="仿宋" w:eastAsia="仿宋_GB2312"/>
          <w:szCs w:val="32"/>
        </w:rPr>
      </w:pPr>
      <w:r>
        <w:rPr>
          <w:rFonts w:hint="eastAsia" w:ascii="仿宋_GB2312" w:hAnsi="仿宋" w:eastAsia="仿宋_GB2312"/>
          <w:szCs w:val="32"/>
        </w:rPr>
        <w:t>按照生态文明建设要求，加快推进随州市绿色矿山建设工作，按照《关于加快建设绿色矿山的实施意见》（国土资规〔2017〕4 号）《湖北省加快建设绿色矿山实施方案》（鄂土资发〔2017〕37号）《省自然资源厅办公室关于加快推进全省绿色矿山建设的通知》（鄂自然资办函〔2019〕57号）等文件精神，根据《固体矿产绿色矿山建设指南》（T/CMAS 0001-2017）《非金属矿行业绿色矿山建设规范》（DZ/T 0312-2018）等系列绿色矿山建设规范开展绿色矿山建设工作。</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1.绿色矿山建设目标</w:t>
      </w:r>
    </w:p>
    <w:p>
      <w:pPr>
        <w:spacing w:line="240" w:lineRule="auto"/>
        <w:ind w:firstLine="632"/>
        <w:jc w:val="both"/>
        <w:rPr>
          <w:rFonts w:ascii="仿宋_GB2312" w:hAnsi="仿宋" w:eastAsia="仿宋_GB2312"/>
          <w:szCs w:val="32"/>
        </w:rPr>
      </w:pPr>
      <w:r>
        <w:rPr>
          <w:rFonts w:hint="eastAsia" w:ascii="仿宋_GB2312" w:hAnsi="仿宋" w:eastAsia="仿宋_GB2312"/>
          <w:szCs w:val="32"/>
        </w:rPr>
        <w:t>规划期内，有计划、分步骤推进绿色矿山建设，生产矿山达标率逐年提升，全市矿山生态环境明显改善，矿产资源开发利用更加高效，矿山综合管理能力进一步提升，矿业高质量发展取得明显成效，基本形成管理规范、集约高效、环境优良、矿地和谐的矿业可持续发展新格局。</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2.绿色矿山创建</w:t>
      </w:r>
    </w:p>
    <w:p>
      <w:pPr>
        <w:pStyle w:val="2"/>
        <w:spacing w:after="0" w:line="240" w:lineRule="auto"/>
        <w:ind w:left="0" w:leftChars="0" w:firstLine="564" w:firstLineChars="0"/>
        <w:jc w:val="both"/>
        <w:rPr>
          <w:rFonts w:ascii="仿宋_GB2312" w:hAnsi="仿宋" w:eastAsia="仿宋_GB2312"/>
          <w:szCs w:val="32"/>
        </w:rPr>
      </w:pPr>
      <w:r>
        <w:rPr>
          <w:rFonts w:hint="eastAsia" w:ascii="仿宋_GB2312" w:hAnsi="仿宋" w:eastAsia="仿宋_GB2312"/>
          <w:szCs w:val="32"/>
        </w:rPr>
        <w:t>按照政府引导、地质技术相关机构提供技术支撑、矿山企业为主体、第三方评估、社会监督的工作机制，开展绿色矿山的创建，形成绿色矿山建设体系。要求新建矿山的开发利用与生态复绿方案，包括绿色矿山建设，实行绿色矿山建设激励政策，对于按照绿色矿山标准规划和设计建设的矿山，在用地、用矿等方面予以倾斜；对于完成绿色矿山建设任务的企业，落实资源综合利用、矿山环境保护、节能减排等相关优惠政策。全面开展绿色矿山建设，大力推动发展绿色矿业。</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3.绿色矿山保障措施</w:t>
      </w:r>
    </w:p>
    <w:p>
      <w:pPr>
        <w:pStyle w:val="2"/>
        <w:spacing w:after="0" w:line="240" w:lineRule="auto"/>
        <w:ind w:left="0" w:leftChars="0" w:firstLine="564" w:firstLineChars="0"/>
        <w:jc w:val="both"/>
        <w:rPr>
          <w:rFonts w:ascii="仿宋_GB2312" w:hAnsi="仿宋" w:eastAsia="仿宋_GB2312"/>
          <w:szCs w:val="32"/>
        </w:rPr>
      </w:pPr>
      <w:r>
        <w:rPr>
          <w:rFonts w:hint="eastAsia" w:ascii="仿宋_GB2312" w:hAnsi="仿宋" w:eastAsia="仿宋_GB2312"/>
          <w:szCs w:val="32"/>
        </w:rPr>
        <w:t>（1）完善工作组织机制。加强绿色矿山建设工作组织领导，各地应组建以地方政府为主、相关部门参与的本行政区绿色矿山建设工作专班，建立工作协调沟通机制，共同推进本辖区绿色矿山建设。</w:t>
      </w:r>
    </w:p>
    <w:p>
      <w:pPr>
        <w:pStyle w:val="2"/>
        <w:spacing w:after="0" w:line="240" w:lineRule="auto"/>
        <w:ind w:left="0" w:leftChars="0" w:firstLine="564" w:firstLineChars="0"/>
        <w:jc w:val="both"/>
        <w:rPr>
          <w:rFonts w:ascii="仿宋_GB2312" w:hAnsi="仿宋" w:eastAsia="仿宋_GB2312"/>
          <w:szCs w:val="32"/>
        </w:rPr>
      </w:pPr>
      <w:r>
        <w:rPr>
          <w:rFonts w:hint="eastAsia" w:ascii="仿宋_GB2312" w:hAnsi="仿宋" w:eastAsia="仿宋_GB2312"/>
          <w:szCs w:val="32"/>
        </w:rPr>
        <w:t>（2）严格质量考核评估。严格绿色矿山遴选质量管理，把好绿色矿山入库第一关，确保入库矿山高质量、高标准。对已入库矿山建立动态考核计划。</w:t>
      </w:r>
    </w:p>
    <w:p>
      <w:pPr>
        <w:pStyle w:val="2"/>
        <w:spacing w:after="0" w:line="240" w:lineRule="auto"/>
        <w:ind w:left="0" w:leftChars="0" w:firstLine="564" w:firstLineChars="0"/>
        <w:jc w:val="both"/>
        <w:rPr>
          <w:rFonts w:ascii="仿宋_GB2312" w:hAnsi="仿宋" w:eastAsia="仿宋_GB2312"/>
          <w:szCs w:val="32"/>
        </w:rPr>
      </w:pPr>
      <w:r>
        <w:rPr>
          <w:rFonts w:hint="eastAsia" w:ascii="仿宋_GB2312" w:hAnsi="仿宋" w:eastAsia="仿宋_GB2312"/>
          <w:szCs w:val="32"/>
        </w:rPr>
        <w:t>（3）加大宣传培训力度。加大绿色矿山建设技术指导，举办多层次、多方面的技术培训，服务指导地方和矿山企业积极开展绿色矿山建设。强化绿色矿山建设宣传，营造良好的建设氛围。</w:t>
      </w:r>
    </w:p>
    <w:p>
      <w:pPr>
        <w:pStyle w:val="5"/>
        <w:spacing w:before="0" w:after="0" w:line="360" w:lineRule="auto"/>
        <w:ind w:left="0" w:firstLine="632" w:firstLineChars="200"/>
        <w:rPr>
          <w:rFonts w:ascii="楷体_GB2312" w:hAnsi="黑体" w:eastAsia="楷体_GB2312"/>
          <w:sz w:val="32"/>
          <w:szCs w:val="36"/>
        </w:rPr>
      </w:pPr>
      <w:bookmarkStart w:id="100" w:name="_Toc103951240"/>
      <w:r>
        <w:rPr>
          <w:rFonts w:hint="eastAsia" w:ascii="楷体_GB2312" w:hAnsi="黑体" w:eastAsia="楷体_GB2312"/>
          <w:sz w:val="32"/>
          <w:szCs w:val="36"/>
        </w:rPr>
        <w:t>（三）矿区生态保护与修复</w:t>
      </w:r>
      <w:bookmarkEnd w:id="100"/>
    </w:p>
    <w:p>
      <w:pPr>
        <w:spacing w:line="240" w:lineRule="auto"/>
        <w:ind w:firstLine="632"/>
        <w:jc w:val="both"/>
        <w:rPr>
          <w:rFonts w:ascii="仿宋_GB2312" w:hAnsi="仿宋" w:eastAsia="仿宋_GB2312"/>
          <w:szCs w:val="32"/>
        </w:rPr>
      </w:pPr>
      <w:r>
        <w:rPr>
          <w:rFonts w:hint="eastAsia" w:ascii="仿宋_GB2312" w:hAnsi="仿宋" w:eastAsia="仿宋_GB2312"/>
          <w:szCs w:val="32"/>
        </w:rPr>
        <w:t>坚持“谁采矿，谁治理”的原则，推动资源开发利用与生态保护有机衔接，大力推进长江经济带生态保护和绿色发展。落实生产矿山生态修复保护的主体责任，坚持“边开采，边治理”，督促矿山企业科学编制并严格实施矿山开发利用、地质环境保护与土地复垦方案，切实履行矿山地质环境治理恢复和土地复垦义务。</w:t>
      </w:r>
    </w:p>
    <w:p>
      <w:pPr>
        <w:pStyle w:val="73"/>
        <w:numPr>
          <w:ilvl w:val="0"/>
          <w:numId w:val="1"/>
        </w:numPr>
        <w:spacing w:line="240" w:lineRule="auto"/>
        <w:ind w:firstLineChars="0"/>
        <w:jc w:val="both"/>
        <w:rPr>
          <w:rFonts w:ascii="仿宋_GB2312" w:hAnsi="仿宋" w:eastAsia="仿宋_GB2312"/>
          <w:b/>
          <w:szCs w:val="32"/>
        </w:rPr>
      </w:pPr>
      <w:r>
        <w:rPr>
          <w:rFonts w:hint="eastAsia" w:ascii="仿宋_GB2312" w:hAnsi="仿宋" w:eastAsia="仿宋_GB2312"/>
          <w:b/>
          <w:szCs w:val="32"/>
        </w:rPr>
        <w:t>新建矿山生态保护准入</w:t>
      </w:r>
    </w:p>
    <w:p>
      <w:pPr>
        <w:spacing w:line="240" w:lineRule="auto"/>
        <w:ind w:firstLine="632"/>
        <w:jc w:val="both"/>
        <w:rPr>
          <w:rFonts w:ascii="仿宋_GB2312" w:hAnsi="仿宋" w:eastAsia="仿宋_GB2312"/>
          <w:szCs w:val="32"/>
        </w:rPr>
      </w:pPr>
      <w:r>
        <w:rPr>
          <w:rFonts w:hint="eastAsia" w:ascii="仿宋_GB2312" w:hAnsi="仿宋" w:eastAsia="仿宋_GB2312"/>
          <w:szCs w:val="32"/>
        </w:rPr>
        <w:t>新建矿山除了需符合相关法律法规，满足相关开采准入条件，还必须满足生态保护准入条件。</w:t>
      </w:r>
    </w:p>
    <w:p>
      <w:pPr>
        <w:spacing w:line="240" w:lineRule="auto"/>
        <w:ind w:firstLine="632"/>
        <w:jc w:val="both"/>
        <w:rPr>
          <w:rFonts w:ascii="仿宋_GB2312" w:hAnsi="仿宋" w:eastAsia="仿宋_GB2312"/>
          <w:szCs w:val="32"/>
        </w:rPr>
      </w:pPr>
      <w:r>
        <w:rPr>
          <w:rFonts w:hint="eastAsia" w:ascii="仿宋_GB2312" w:hAnsi="仿宋" w:eastAsia="仿宋_GB2312"/>
          <w:szCs w:val="32"/>
        </w:rPr>
        <w:t>（1）加强新建矿山审批管理，严格矿山准入条件，实行“环保一票否决制”。</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（2）矿山建设与矿山环境保护设施建设要坚持同时设计、同时施工、同时使用的“三同时”原则。</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（3）严格执行矿山建设用地审批、地质灾害危险性评估和矿山地质环境影响评价制度。</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（4）严格执行矿山环境治理恢复基金制度，矿山企业根据其矿山地质环境保护与土地复垦方案，合理使用矿山环境治理恢复基金。</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（5）新建矿山须提交并严格执行矿产资源开发利用与生态复绿方案。</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（6）采选设备、采选技术先进，矿山废物排放、选矿水重复利用率、土地复垦率等必须符合规划要求。</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（7）制定矿山地质环境监测方案，建立矿山地质环境监测专门部门或引入第三方监测机构，全面负责矿山地质环境监测的日常管理工作，对矿山地质环境问题实行动态监测。</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2.生产矿山生态修复与监管</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矿山生态修复应坚持因地制宜的原则，自然恢复与人工修复相结合，与矿业用地相衔接，注重生物多样性保护和恢复，形成与周边生态环境相协调的植物群落，最终形成可自我修复的稳定生态系统。探索构建“政府主导、政策扶持，企业负责、社会参与、开发式治理、市场化运作”的矿山生态环境保护新模式；完善矿山矿区生态保护与修复责任机制、矿地利用激励机制等方面的措施；明确矿山地质环境调查与监测及监督管理等相关要求。</w:t>
      </w:r>
    </w:p>
    <w:p>
      <w:pPr>
        <w:pStyle w:val="2"/>
        <w:spacing w:after="0" w:line="240" w:lineRule="auto"/>
        <w:ind w:left="0" w:leftChars="0" w:firstLine="632"/>
        <w:jc w:val="both"/>
        <w:rPr>
          <w:rFonts w:ascii="仿宋_GB2312" w:eastAsia="仿宋_GB2312"/>
          <w:szCs w:val="32"/>
        </w:rPr>
      </w:pPr>
      <w:r>
        <w:rPr>
          <w:rFonts w:hint="eastAsia" w:ascii="仿宋_GB2312" w:hAnsi="仿宋" w:eastAsia="仿宋_GB2312"/>
          <w:szCs w:val="32"/>
        </w:rPr>
        <w:t>（1）</w:t>
      </w:r>
      <w:r>
        <w:rPr>
          <w:rFonts w:ascii="仿宋_GB2312" w:eastAsia="仿宋_GB2312"/>
          <w:szCs w:val="32"/>
        </w:rPr>
        <w:t>明确矿山地质环境治理恢复主体责任。</w:t>
      </w:r>
      <w:r>
        <w:rPr>
          <w:rFonts w:hint="eastAsia" w:ascii="仿宋_GB2312" w:eastAsia="仿宋_GB2312"/>
          <w:szCs w:val="32"/>
        </w:rPr>
        <w:t>因矿山开采活动造成矿山地质环境破坏的保护预防和治理恢复，由采矿权人负责实施。</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（2）加强新建矿山的源头管理与过程监管，促进重点治理恢复区域内矿山地质环境明显改善。</w:t>
      </w:r>
    </w:p>
    <w:p>
      <w:pPr>
        <w:pStyle w:val="2"/>
        <w:spacing w:line="240" w:lineRule="auto"/>
        <w:ind w:left="0" w:leftChars="0" w:firstLine="632"/>
        <w:jc w:val="both"/>
        <w:rPr>
          <w:rFonts w:ascii="仿宋_GB2312" w:hAnsi="仿宋" w:eastAsia="仿宋_GB2312"/>
          <w:szCs w:val="32"/>
        </w:rPr>
      </w:pPr>
      <w:r>
        <w:rPr>
          <w:rFonts w:hint="eastAsia" w:ascii="仿宋_GB2312" w:hAnsi="仿宋" w:eastAsia="仿宋_GB2312"/>
          <w:szCs w:val="32"/>
        </w:rPr>
        <w:t>（3）强化对矿山污染治理相关设施运行情况的监督检查。必须做到“边开采，边治理”，按照“矿产资源开发利用与生态复绿方案”，有序实施开采计划，及时对开采后的采场、废石场、尾矿库、公路边坡实施恢复治理与土地复垦，将治理结果纳入采矿权延续的考核要求中。</w:t>
      </w:r>
    </w:p>
    <w:p>
      <w:pPr>
        <w:pStyle w:val="4"/>
        <w:spacing w:before="0" w:after="0" w:line="360" w:lineRule="auto"/>
        <w:ind w:firstLine="632" w:firstLineChars="200"/>
        <w:rPr>
          <w:rFonts w:ascii="黑体" w:hAnsi="黑体"/>
          <w:sz w:val="32"/>
        </w:rPr>
      </w:pPr>
      <w:bookmarkStart w:id="101" w:name="_Toc103951241"/>
      <w:r>
        <w:rPr>
          <w:rFonts w:hint="eastAsia" w:ascii="黑体" w:hAnsi="黑体"/>
          <w:sz w:val="32"/>
        </w:rPr>
        <w:t>七、重大工程</w:t>
      </w:r>
      <w:bookmarkEnd w:id="101"/>
    </w:p>
    <w:p>
      <w:pPr>
        <w:pStyle w:val="5"/>
        <w:spacing w:before="0" w:after="0" w:line="360" w:lineRule="auto"/>
        <w:ind w:left="0" w:firstLine="632" w:firstLineChars="200"/>
        <w:rPr>
          <w:rFonts w:ascii="楷体_GB2312" w:hAnsi="黑体" w:eastAsia="楷体_GB2312"/>
          <w:sz w:val="32"/>
          <w:szCs w:val="36"/>
        </w:rPr>
      </w:pPr>
      <w:bookmarkStart w:id="102" w:name="_Toc103951242"/>
      <w:r>
        <w:rPr>
          <w:rFonts w:hint="eastAsia" w:ascii="楷体_GB2312" w:hAnsi="黑体" w:eastAsia="楷体_GB2312"/>
          <w:sz w:val="32"/>
          <w:szCs w:val="36"/>
        </w:rPr>
        <w:t>（一）基础地质调查工程</w:t>
      </w:r>
      <w:bookmarkEnd w:id="102"/>
    </w:p>
    <w:p>
      <w:pPr>
        <w:spacing w:line="240" w:lineRule="auto"/>
        <w:ind w:firstLine="632"/>
        <w:jc w:val="both"/>
        <w:rPr>
          <w:rFonts w:ascii="仿宋_GB2312" w:eastAsia="仿宋_GB2312"/>
        </w:rPr>
      </w:pPr>
      <w:r>
        <w:rPr>
          <w:rFonts w:hint="eastAsia" w:ascii="仿宋_GB2312" w:eastAsia="仿宋_GB2312"/>
        </w:rPr>
        <w:t>为了更好挖掘随州市资源要素的经济价值，调查随州市地质遗迹资源，通过随州大洪山省级地质公园申报调查、华中重要地质遗迹调查（湖北）等项目实施，已初步查明随县洪山镇、长岗镇等地区多处地质遗迹资源的特征与价值，进一步规划湖北省随县地质遗迹调查工程。</w:t>
      </w:r>
    </w:p>
    <w:p>
      <w:pPr>
        <w:pStyle w:val="5"/>
        <w:spacing w:before="0" w:after="0" w:line="360" w:lineRule="auto"/>
        <w:ind w:left="0" w:firstLine="632" w:firstLineChars="200"/>
        <w:rPr>
          <w:rFonts w:ascii="楷体_GB2312" w:hAnsi="黑体" w:eastAsia="楷体_GB2312"/>
          <w:sz w:val="32"/>
          <w:szCs w:val="36"/>
        </w:rPr>
      </w:pPr>
      <w:bookmarkStart w:id="103" w:name="_Toc103951243"/>
      <w:r>
        <w:rPr>
          <w:rFonts w:hint="eastAsia" w:ascii="楷体_GB2312" w:hAnsi="黑体" w:eastAsia="楷体_GB2312"/>
          <w:sz w:val="32"/>
          <w:szCs w:val="36"/>
        </w:rPr>
        <w:t>（二）固体矿产资源调查评价工程</w:t>
      </w:r>
      <w:bookmarkEnd w:id="103"/>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为了保障战略性矿产资源供应，发现可供进一步勘查的矿产地，引导和服务商业性矿产勘查，以紧缺和战略性矿产为重点，在重要成矿区带内实施矿产资源调查评价项目。</w:t>
      </w:r>
    </w:p>
    <w:p>
      <w:pPr>
        <w:pStyle w:val="5"/>
        <w:spacing w:before="0" w:after="0" w:line="360" w:lineRule="auto"/>
        <w:ind w:left="0" w:firstLine="632" w:firstLineChars="200"/>
        <w:rPr>
          <w:rFonts w:ascii="楷体_GB2312" w:hAnsi="黑体" w:eastAsia="楷体_GB2312"/>
          <w:sz w:val="32"/>
          <w:szCs w:val="36"/>
        </w:rPr>
      </w:pPr>
      <w:bookmarkStart w:id="104" w:name="_Toc103951244"/>
      <w:r>
        <w:rPr>
          <w:rFonts w:hint="eastAsia" w:ascii="楷体_GB2312" w:hAnsi="黑体" w:eastAsia="楷体_GB2312"/>
          <w:sz w:val="32"/>
          <w:szCs w:val="36"/>
        </w:rPr>
        <w:t>（三）随北饰面用花岗岩石材绿色发展重大工程</w:t>
      </w:r>
      <w:bookmarkEnd w:id="104"/>
    </w:p>
    <w:p>
      <w:pPr>
        <w:spacing w:line="240" w:lineRule="auto"/>
        <w:ind w:firstLine="632"/>
        <w:jc w:val="both"/>
        <w:rPr>
          <w:rFonts w:ascii="仿宋_GB2312" w:hAnsi="仿宋" w:eastAsia="仿宋_GB2312"/>
          <w:kern w:val="0"/>
          <w:szCs w:val="32"/>
        </w:rPr>
      </w:pPr>
      <w:r>
        <w:rPr>
          <w:rFonts w:hint="eastAsia" w:ascii="仿宋_GB2312" w:hAnsi="仿宋" w:eastAsia="仿宋_GB2312"/>
          <w:kern w:val="0"/>
          <w:szCs w:val="32"/>
        </w:rPr>
        <w:t>饰面用花岗岩作为随州市特色矿产资源，具有优良的资源禀赋和石材产业的比较优势，由于随州市饰面用花岗岩勘查开发利用主体在随县，为加快推动随县石材产业绿色可持续高质量发展，建成符合时代需要的优势产业集群，现设置随北饰面用花岗岩石材绿色发展重大工程。</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按照“坚持绿色优先、坚持系统思维、坚持融合发展”的基本原则，提高准入标准，加快矿业权的优化整合，严格落实“净矿”出让，将随县境内现有的饰面用花岗岩采矿权全部注销，优化后新设，采矿权出让时将绿色矿山和延长产业链内容纳入出让合同和出让公告，随着产能释放而逐步增加，同时保证持续投入勘查工作，确保资源储量支撑产业稳步健康发展。</w:t>
      </w:r>
    </w:p>
    <w:p>
      <w:pPr>
        <w:spacing w:line="240" w:lineRule="auto"/>
        <w:ind w:firstLine="632"/>
        <w:jc w:val="both"/>
        <w:rPr>
          <w:rFonts w:ascii="仿宋_GB2312" w:hAnsi="仿宋" w:eastAsia="仿宋_GB2312" w:cs="仿宋"/>
          <w:szCs w:val="32"/>
        </w:rPr>
      </w:pPr>
      <w:r>
        <w:rPr>
          <w:rFonts w:hint="eastAsia" w:ascii="仿宋_GB2312" w:hAnsi="仿宋" w:eastAsia="仿宋_GB2312"/>
          <w:kern w:val="0"/>
          <w:szCs w:val="32"/>
        </w:rPr>
        <w:t>根据矿产资源开发利用的实际情况与产业发展的现实需求，以保障发展、保护资源、维护权益、利益共享为出发点，将加强生态保护和节约集约利用作为重点，规模化、产业化发展，将绿色发展理念贯穿于矿产资源规划、勘查、开发利用与保护全过程，引领和带动传统矿业转型升级，提升矿业发展质量和效益着力加强绿色矿山建设。探索利用市场化方式推进矿山生态修复，引入第三方机构开展跟踪指导和评估，筑牢绿色屏障，打造新型建材产业集群</w:t>
      </w:r>
      <w:r>
        <w:rPr>
          <w:rFonts w:hint="eastAsia" w:ascii="仿宋_GB2312" w:hAnsi="仿宋" w:eastAsia="仿宋_GB2312" w:cs="仿宋"/>
          <w:szCs w:val="32"/>
        </w:rPr>
        <w:t>。</w:t>
      </w:r>
    </w:p>
    <w:p>
      <w:pPr>
        <w:pStyle w:val="4"/>
        <w:spacing w:before="0" w:after="0" w:line="360" w:lineRule="auto"/>
        <w:ind w:firstLine="632" w:firstLineChars="200"/>
        <w:rPr>
          <w:rFonts w:ascii="黑体" w:hAnsi="黑体"/>
          <w:sz w:val="32"/>
        </w:rPr>
      </w:pPr>
      <w:bookmarkStart w:id="105" w:name="_Toc103951250"/>
      <w:r>
        <w:rPr>
          <w:rFonts w:hint="eastAsia" w:ascii="黑体" w:hAnsi="黑体"/>
          <w:sz w:val="32"/>
        </w:rPr>
        <w:t>八、规划实施与管理</w:t>
      </w:r>
      <w:bookmarkEnd w:id="105"/>
    </w:p>
    <w:p>
      <w:pPr>
        <w:spacing w:line="240" w:lineRule="auto"/>
        <w:ind w:firstLine="632"/>
        <w:jc w:val="both"/>
        <w:rPr>
          <w:rFonts w:ascii="仿宋_GB2312" w:hAnsi="仿宋" w:eastAsia="仿宋_GB2312"/>
          <w:szCs w:val="32"/>
        </w:rPr>
      </w:pPr>
      <w:r>
        <w:rPr>
          <w:rFonts w:hint="eastAsia" w:ascii="仿宋_GB2312" w:hAnsi="仿宋" w:eastAsia="仿宋_GB2312"/>
          <w:szCs w:val="32"/>
        </w:rPr>
        <w:t>《规划》是随州市“十四五”规划的有机组成部分，通过年度计划、勘查项目、资源开发、专项措施等予以落实。《规划》与国土空间、生态建设、环境保护、地质灾害防治、土地利用、水土保持、旅游开发、水资源开发等相关规划相互衔接。为确保《规划》制定的目标、任务的实现，建立包括法律、行政、经济、社会、科技等综合手段和配套机制为一体的规划实施保障体系。</w:t>
      </w:r>
      <w:bookmarkStart w:id="106" w:name="_Toc472365125"/>
    </w:p>
    <w:p>
      <w:pPr>
        <w:pStyle w:val="5"/>
        <w:spacing w:before="0" w:after="0" w:line="360" w:lineRule="auto"/>
        <w:ind w:left="0" w:firstLine="632" w:firstLineChars="200"/>
        <w:rPr>
          <w:rFonts w:ascii="楷体_GB2312" w:hAnsi="黑体" w:eastAsia="楷体_GB2312"/>
          <w:sz w:val="32"/>
          <w:szCs w:val="36"/>
        </w:rPr>
      </w:pPr>
      <w:bookmarkStart w:id="107" w:name="_Toc103951251"/>
      <w:r>
        <w:rPr>
          <w:rFonts w:hint="eastAsia" w:ascii="楷体_GB2312" w:hAnsi="黑体" w:eastAsia="楷体_GB2312"/>
          <w:sz w:val="32"/>
          <w:szCs w:val="36"/>
        </w:rPr>
        <w:t>（一）规划</w:t>
      </w:r>
      <w:r>
        <w:rPr>
          <w:rFonts w:ascii="楷体_GB2312" w:hAnsi="黑体" w:eastAsia="楷体_GB2312"/>
          <w:sz w:val="32"/>
          <w:szCs w:val="36"/>
        </w:rPr>
        <w:t>实施目标与责任考核</w:t>
      </w:r>
      <w:bookmarkEnd w:id="107"/>
    </w:p>
    <w:p>
      <w:pPr>
        <w:spacing w:line="240" w:lineRule="auto"/>
        <w:ind w:firstLine="632"/>
        <w:jc w:val="both"/>
        <w:rPr>
          <w:rFonts w:ascii="仿宋_GB2312" w:hAnsi="仿宋" w:eastAsia="仿宋_GB2312"/>
          <w:szCs w:val="32"/>
        </w:rPr>
      </w:pPr>
      <w:r>
        <w:rPr>
          <w:rFonts w:hint="eastAsia" w:ascii="仿宋_GB2312" w:hAnsi="仿宋" w:eastAsia="仿宋_GB2312"/>
          <w:szCs w:val="32"/>
        </w:rPr>
        <w:t>矿产资源总体规划一经批准，必须严格执行。自然资源主管部门在相关法律确定的相应职权范围内，结合工作实际，严格按照责权一致的要求建立规划实施目标责任制度。做到任务明确，责任明晰，并相应加强监督检查，健全考核制度，定期进行检查评比，并纳入相关单位年度目标管理体系。要争取同级党委、政府的重视，将规划确定的主要目标指标纳入国民经济社会发展规划，完善评价体系和绩效管理。</w:t>
      </w:r>
    </w:p>
    <w:p>
      <w:pPr>
        <w:pStyle w:val="5"/>
        <w:spacing w:before="0" w:after="0" w:line="360" w:lineRule="auto"/>
        <w:ind w:left="0" w:firstLine="632" w:firstLineChars="200"/>
        <w:rPr>
          <w:rFonts w:ascii="楷体_GB2312" w:hAnsi="黑体" w:eastAsia="楷体_GB2312"/>
          <w:sz w:val="32"/>
          <w:szCs w:val="36"/>
        </w:rPr>
      </w:pPr>
      <w:bookmarkStart w:id="108" w:name="_Toc103951252"/>
      <w:r>
        <w:rPr>
          <w:rFonts w:hint="eastAsia" w:ascii="楷体_GB2312" w:hAnsi="黑体" w:eastAsia="楷体_GB2312"/>
          <w:sz w:val="32"/>
          <w:szCs w:val="36"/>
        </w:rPr>
        <w:t>（二）规划</w:t>
      </w:r>
      <w:r>
        <w:rPr>
          <w:rFonts w:ascii="楷体_GB2312" w:hAnsi="黑体" w:eastAsia="楷体_GB2312"/>
          <w:sz w:val="32"/>
          <w:szCs w:val="36"/>
        </w:rPr>
        <w:t>实施</w:t>
      </w:r>
      <w:r>
        <w:rPr>
          <w:rFonts w:hint="eastAsia" w:ascii="楷体_GB2312" w:hAnsi="黑体" w:eastAsia="楷体_GB2312"/>
          <w:sz w:val="32"/>
          <w:szCs w:val="36"/>
        </w:rPr>
        <w:t>与</w:t>
      </w:r>
      <w:r>
        <w:rPr>
          <w:rFonts w:ascii="楷体_GB2312" w:hAnsi="黑体" w:eastAsia="楷体_GB2312"/>
          <w:sz w:val="32"/>
          <w:szCs w:val="36"/>
        </w:rPr>
        <w:t>审查</w:t>
      </w:r>
      <w:bookmarkEnd w:id="108"/>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加强规划评审全过程的制度建设，出台相关管理办法和操作规程；强化规划评审专家责任制度，充分发挥专家的技术优势，负责对规划评审、实施和评估的全过程监督管理。</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矿业权申请要严格申报条件和审批程序，对于不符合矿产资源规划的勘查、开发项目，不得审批、颁发勘查许可证和采矿许可证；对新建、变更、延续矿业权的申请，须经自然资源行政管理机关进行审查后，方可按照发证权限颁（换）发采矿许可证，审查发现不符合《规划》要求的采矿权申请，一律不得授予采矿权。</w:t>
      </w:r>
    </w:p>
    <w:p>
      <w:pPr>
        <w:pStyle w:val="5"/>
        <w:spacing w:before="0" w:after="0" w:line="360" w:lineRule="auto"/>
        <w:ind w:left="0" w:firstLine="632" w:firstLineChars="200"/>
        <w:rPr>
          <w:rFonts w:ascii="楷体_GB2312" w:hAnsi="黑体" w:eastAsia="楷体_GB2312"/>
          <w:sz w:val="32"/>
          <w:szCs w:val="36"/>
        </w:rPr>
      </w:pPr>
      <w:bookmarkStart w:id="109" w:name="_Toc103951253"/>
      <w:r>
        <w:rPr>
          <w:rFonts w:hint="eastAsia" w:ascii="楷体_GB2312" w:hAnsi="黑体" w:eastAsia="楷体_GB2312"/>
          <w:sz w:val="32"/>
          <w:szCs w:val="36"/>
        </w:rPr>
        <w:t>（三）规划实施评估与调整</w:t>
      </w:r>
      <w:bookmarkEnd w:id="109"/>
    </w:p>
    <w:p>
      <w:pPr>
        <w:pStyle w:val="2"/>
        <w:spacing w:after="0" w:line="240" w:lineRule="auto"/>
        <w:ind w:left="0" w:leftChars="0" w:firstLine="632"/>
        <w:jc w:val="both"/>
        <w:rPr>
          <w:rFonts w:ascii="仿宋_GB2312" w:hAnsi="仿宋" w:eastAsia="仿宋_GB2312"/>
          <w:b/>
          <w:szCs w:val="32"/>
        </w:rPr>
      </w:pPr>
      <w:r>
        <w:rPr>
          <w:rFonts w:hint="eastAsia" w:ascii="仿宋_GB2312" w:hAnsi="仿宋" w:eastAsia="仿宋_GB2312"/>
          <w:szCs w:val="32"/>
        </w:rPr>
        <w:t>一是在规划期矿产资源配置、经济产业发展、国家相关产业可能发生较大变化，规划中可能出现与相关矿产资源产业发展不适应的规定，规划应作出相应调整；二是矿产资源勘查、开发的布局发生重大改变，要对规划中的相应规划区进行调整；三是要逐步建立一套完整的矿产资源规划修改变更制度，完善变更调整程序，确保规划调整符合规定；四是要加强规划实施评估能力建设，强化对规划实施情况跟踪分析。</w:t>
      </w:r>
    </w:p>
    <w:p>
      <w:pPr>
        <w:spacing w:line="240" w:lineRule="auto"/>
        <w:ind w:firstLine="634"/>
        <w:jc w:val="both"/>
        <w:rPr>
          <w:rFonts w:ascii="仿宋_GB2312" w:hAnsi="仿宋" w:eastAsia="仿宋_GB2312"/>
          <w:b/>
          <w:szCs w:val="32"/>
        </w:rPr>
      </w:pPr>
      <w:r>
        <w:rPr>
          <w:rFonts w:hint="eastAsia" w:ascii="仿宋_GB2312" w:hAnsi="仿宋" w:eastAsia="仿宋_GB2312"/>
          <w:b/>
          <w:szCs w:val="32"/>
        </w:rPr>
        <w:t>1.规划实施评估</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对规划实施评估，是对规划实施过程中的好坏效果的评判、评估。实施规划评估是调整或修订规划的重要依据。通过评估，总结矿产资源规划实施的进展、成效及存在的问题，分析规划实施面临新的经济发展形势，剖析完成规划任务和实现规划目标存在的问题及其原因，提出规划实施的政策建议。</w:t>
      </w:r>
    </w:p>
    <w:p>
      <w:pPr>
        <w:pStyle w:val="2"/>
        <w:spacing w:after="0" w:line="240" w:lineRule="auto"/>
        <w:ind w:left="0" w:leftChars="0" w:firstLine="634"/>
        <w:jc w:val="both"/>
        <w:rPr>
          <w:rFonts w:ascii="仿宋_GB2312" w:hAnsi="仿宋" w:eastAsia="仿宋_GB2312"/>
          <w:b/>
          <w:szCs w:val="32"/>
        </w:rPr>
      </w:pPr>
      <w:r>
        <w:rPr>
          <w:rFonts w:hint="eastAsia" w:ascii="仿宋_GB2312" w:hAnsi="仿宋" w:eastAsia="仿宋_GB2312"/>
          <w:b/>
          <w:szCs w:val="32"/>
        </w:rPr>
        <w:t>2.规划实施调整</w:t>
      </w:r>
    </w:p>
    <w:p>
      <w:pPr>
        <w:pStyle w:val="2"/>
        <w:spacing w:after="0" w:line="240" w:lineRule="auto"/>
        <w:ind w:left="0" w:leftChars="0" w:firstLine="632"/>
        <w:jc w:val="both"/>
        <w:rPr>
          <w:rFonts w:ascii="仿宋_GB2312" w:hAnsi="仿宋" w:eastAsia="仿宋_GB2312"/>
          <w:b/>
          <w:szCs w:val="32"/>
        </w:rPr>
      </w:pPr>
      <w:r>
        <w:rPr>
          <w:rFonts w:hint="eastAsia" w:ascii="仿宋_GB2312" w:hAnsi="仿宋" w:eastAsia="仿宋_GB2312"/>
          <w:szCs w:val="32"/>
        </w:rPr>
        <w:t>自然资源行政主管部门在规划确定的目标基础上，根据本地区的实际情况，结合市场需求，将总量控制的矿种及开采总量的年度调控意见、产业结构调整的方向和量化要求、规划区具体的调整目标和时限、矿业权市场建设年度意见、矿山环境保护与治理恢复、绿色矿山建设情况等综合评估后，确需调整的，严格按照有关规定程序办理。</w:t>
      </w:r>
    </w:p>
    <w:p>
      <w:pPr>
        <w:pStyle w:val="5"/>
        <w:spacing w:before="0" w:after="0" w:line="360" w:lineRule="auto"/>
        <w:ind w:left="0" w:firstLine="632" w:firstLineChars="200"/>
        <w:rPr>
          <w:rFonts w:ascii="楷体_GB2312" w:hAnsi="黑体" w:eastAsia="楷体_GB2312"/>
          <w:sz w:val="32"/>
          <w:szCs w:val="36"/>
        </w:rPr>
      </w:pPr>
      <w:bookmarkStart w:id="110" w:name="_Toc103951254"/>
      <w:r>
        <w:rPr>
          <w:rFonts w:hint="eastAsia" w:ascii="楷体_GB2312" w:hAnsi="黑体" w:eastAsia="楷体_GB2312"/>
          <w:sz w:val="32"/>
          <w:szCs w:val="36"/>
        </w:rPr>
        <w:t>（四）规划实施监督检查</w:t>
      </w:r>
      <w:bookmarkEnd w:id="110"/>
    </w:p>
    <w:p>
      <w:pPr>
        <w:pStyle w:val="2"/>
        <w:spacing w:after="0" w:line="240" w:lineRule="auto"/>
        <w:ind w:left="0" w:leftChars="0" w:firstLine="632"/>
        <w:jc w:val="both"/>
        <w:rPr>
          <w:rFonts w:ascii="仿宋_GB2312" w:hAnsi="仿宋" w:eastAsia="仿宋_GB2312"/>
          <w:b/>
          <w:szCs w:val="32"/>
        </w:rPr>
      </w:pPr>
      <w:r>
        <w:rPr>
          <w:rFonts w:hint="eastAsia" w:ascii="仿宋_GB2312" w:hAnsi="仿宋" w:eastAsia="仿宋_GB2312"/>
          <w:szCs w:val="32"/>
        </w:rPr>
        <w:t>自然资源行政主管部门应切实加强对矿产资源规划执行情况的监督检查，并将开采总量控制、矿业权设置、矿山布局结构调整、新建矿山准入条件，以及绿色矿山建设等列为检查的重要内容，对违反法律法规和矿产资源规划的，要及时予以纠正。</w:t>
      </w:r>
    </w:p>
    <w:p>
      <w:pPr>
        <w:pStyle w:val="5"/>
        <w:spacing w:before="0" w:after="0" w:line="360" w:lineRule="auto"/>
        <w:ind w:left="0" w:firstLine="632" w:firstLineChars="200"/>
        <w:rPr>
          <w:rFonts w:ascii="楷体_GB2312" w:hAnsi="黑体" w:eastAsia="楷体_GB2312"/>
          <w:sz w:val="32"/>
          <w:szCs w:val="36"/>
        </w:rPr>
      </w:pPr>
      <w:bookmarkStart w:id="111" w:name="_Toc103951255"/>
      <w:r>
        <w:rPr>
          <w:rFonts w:hint="eastAsia" w:ascii="楷体_GB2312" w:hAnsi="黑体" w:eastAsia="楷体_GB2312"/>
          <w:sz w:val="32"/>
          <w:szCs w:val="36"/>
        </w:rPr>
        <w:t>（五）规划管理信息化建设与管理</w:t>
      </w:r>
      <w:bookmarkEnd w:id="111"/>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充分应用GIS与网络技术，利用矿产资源规划数据库作为基础数据，审查矿产资源勘查开发行为，夯实规划辅助审查的数据基础，实现各级规划管理信息的互联互通，确保各级规划实施过程中协调有序，服务经济社会发展。</w:t>
      </w:r>
    </w:p>
    <w:bookmarkEnd w:id="106"/>
    <w:p>
      <w:pPr>
        <w:pStyle w:val="4"/>
        <w:spacing w:before="0" w:after="0" w:line="360" w:lineRule="auto"/>
        <w:jc w:val="center"/>
        <w:rPr>
          <w:rFonts w:ascii="黑体" w:hAnsi="黑体"/>
          <w:sz w:val="32"/>
        </w:rPr>
      </w:pPr>
      <w:bookmarkStart w:id="112" w:name="_Toc103951256"/>
      <w:r>
        <w:rPr>
          <w:rFonts w:hint="eastAsia" w:ascii="黑体" w:hAnsi="黑体"/>
          <w:sz w:val="32"/>
        </w:rPr>
        <w:t>附则</w:t>
      </w:r>
      <w:bookmarkEnd w:id="112"/>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《规划》由文本、附表、附图、附件等组成，四者具有同等效力。</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《规划》一经批准，具有法律效力，必须严格执行。</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根据随州市国民经济与社会发展实际，确实需要对《规划》进行修改和调整的，由随州市自然资源和规划局组织，相关行业部门配合进行修改和调整，并按规划审批程序报批后实施。</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《规划》经随州市人民政府审核同意，报湖北省自然资源厅批准，由随州市人民政府发布实施。</w:t>
      </w:r>
    </w:p>
    <w:p>
      <w:pPr>
        <w:pStyle w:val="2"/>
        <w:spacing w:after="0" w:line="240" w:lineRule="auto"/>
        <w:ind w:left="0" w:leftChars="0" w:firstLine="632"/>
        <w:jc w:val="both"/>
        <w:rPr>
          <w:rFonts w:ascii="仿宋_GB2312" w:hAnsi="仿宋" w:eastAsia="仿宋_GB2312"/>
          <w:szCs w:val="32"/>
        </w:rPr>
      </w:pPr>
      <w:r>
        <w:rPr>
          <w:rFonts w:hint="eastAsia" w:ascii="仿宋_GB2312" w:hAnsi="仿宋" w:eastAsia="仿宋_GB2312"/>
          <w:szCs w:val="32"/>
        </w:rPr>
        <w:t>《规划》由随州市自然资源和规划局负责解释。</w:t>
      </w:r>
    </w:p>
    <w:sectPr>
      <w:footerReference r:id="rId11" w:type="default"/>
      <w:footerReference r:id="rId12" w:type="even"/>
      <w:pgSz w:w="11906" w:h="16838"/>
      <w:pgMar w:top="2098" w:right="1474" w:bottom="1985" w:left="1588" w:header="851" w:footer="1418" w:gutter="0"/>
      <w:pgNumType w:fmt="numberInDash" w:start="1"/>
      <w:cols w:space="425" w:num="1"/>
      <w:docGrid w:type="linesAndChars" w:linePitch="579" w:charSpace="-8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jc w:val="center"/>
    </w:pPr>
  </w:p>
  <w:p>
    <w:pPr>
      <w:pStyle w:val="1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82620085"/>
      <w:docPartObj>
        <w:docPartGallery w:val="AutoText"/>
      </w:docPartObj>
    </w:sdtPr>
    <w:sdtContent>
      <w:p>
        <w:pPr>
          <w:pStyle w:val="15"/>
          <w:ind w:firstLine="360"/>
          <w:jc w:val="center"/>
        </w:pPr>
        <w:r>
          <w:fldChar w:fldCharType="begin"/>
        </w:r>
        <w:r>
          <w:instrText xml:space="preserve">PAGE   \* MERGEFORMAT</w:instrText>
        </w:r>
        <w:r>
          <w:fldChar w:fldCharType="separate"/>
        </w:r>
        <w:r>
          <w:rPr>
            <w:lang w:val="zh-CN"/>
          </w:rPr>
          <w:t>-</w:t>
        </w:r>
        <w:r>
          <w:t xml:space="preserve"> 41 -</w:t>
        </w:r>
        <w:r>
          <w:fldChar w:fldCharType="end"/>
        </w:r>
      </w:p>
    </w:sdtContent>
  </w:sdt>
  <w:p>
    <w:pPr>
      <w:pStyle w:val="15"/>
      <w:ind w:firstLine="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45711046"/>
      <w:docPartObj>
        <w:docPartGallery w:val="AutoText"/>
      </w:docPartObj>
    </w:sdtPr>
    <w:sdtContent>
      <w:p>
        <w:pPr>
          <w:pStyle w:val="15"/>
          <w:ind w:firstLine="360"/>
          <w:jc w:val="center"/>
        </w:pPr>
        <w:r>
          <w:fldChar w:fldCharType="begin"/>
        </w:r>
        <w:r>
          <w:instrText xml:space="preserve">PAGE   \* MERGEFORMAT</w:instrText>
        </w:r>
        <w:r>
          <w:fldChar w:fldCharType="separate"/>
        </w:r>
        <w:r>
          <w:rPr>
            <w:lang w:val="zh-CN"/>
          </w:rPr>
          <w:t>-</w:t>
        </w:r>
        <w:r>
          <w:t xml:space="preserve"> 40 -</w:t>
        </w:r>
        <w:r>
          <w:fldChar w:fldCharType="end"/>
        </w:r>
      </w:p>
    </w:sdtContent>
  </w:sdt>
  <w:p>
    <w:pPr>
      <w:pStyle w:val="15"/>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640"/>
      </w:pPr>
      <w:r>
        <w:separator/>
      </w:r>
    </w:p>
  </w:footnote>
  <w:footnote w:type="continuationSeparator" w:id="1">
    <w:p>
      <w:pPr>
        <w:spacing w:line="36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C5E1814"/>
    <w:multiLevelType w:val="multilevel"/>
    <w:tmpl w:val="6C5E1814"/>
    <w:lvl w:ilvl="0" w:tentative="0">
      <w:start w:val="1"/>
      <w:numFmt w:val="decimal"/>
      <w:lvlText w:val="%1."/>
      <w:lvlJc w:val="left"/>
      <w:pPr>
        <w:ind w:left="994" w:hanging="360"/>
      </w:pPr>
      <w:rPr>
        <w:rFonts w:hint="default"/>
      </w:rPr>
    </w:lvl>
    <w:lvl w:ilvl="1" w:tentative="0">
      <w:start w:val="1"/>
      <w:numFmt w:val="lowerLetter"/>
      <w:lvlText w:val="%2)"/>
      <w:lvlJc w:val="left"/>
      <w:pPr>
        <w:ind w:left="1474" w:hanging="420"/>
      </w:pPr>
    </w:lvl>
    <w:lvl w:ilvl="2" w:tentative="0">
      <w:start w:val="1"/>
      <w:numFmt w:val="lowerRoman"/>
      <w:lvlText w:val="%3."/>
      <w:lvlJc w:val="right"/>
      <w:pPr>
        <w:ind w:left="1894" w:hanging="420"/>
      </w:pPr>
    </w:lvl>
    <w:lvl w:ilvl="3" w:tentative="0">
      <w:start w:val="1"/>
      <w:numFmt w:val="decimal"/>
      <w:lvlText w:val="%4."/>
      <w:lvlJc w:val="left"/>
      <w:pPr>
        <w:ind w:left="2314" w:hanging="420"/>
      </w:pPr>
    </w:lvl>
    <w:lvl w:ilvl="4" w:tentative="0">
      <w:start w:val="1"/>
      <w:numFmt w:val="lowerLetter"/>
      <w:lvlText w:val="%5)"/>
      <w:lvlJc w:val="left"/>
      <w:pPr>
        <w:ind w:left="2734" w:hanging="420"/>
      </w:pPr>
    </w:lvl>
    <w:lvl w:ilvl="5" w:tentative="0">
      <w:start w:val="1"/>
      <w:numFmt w:val="lowerRoman"/>
      <w:lvlText w:val="%6."/>
      <w:lvlJc w:val="right"/>
      <w:pPr>
        <w:ind w:left="3154" w:hanging="420"/>
      </w:pPr>
    </w:lvl>
    <w:lvl w:ilvl="6" w:tentative="0">
      <w:start w:val="1"/>
      <w:numFmt w:val="decimal"/>
      <w:lvlText w:val="%7."/>
      <w:lvlJc w:val="left"/>
      <w:pPr>
        <w:ind w:left="3574" w:hanging="420"/>
      </w:pPr>
    </w:lvl>
    <w:lvl w:ilvl="7" w:tentative="0">
      <w:start w:val="1"/>
      <w:numFmt w:val="lowerLetter"/>
      <w:lvlText w:val="%8)"/>
      <w:lvlJc w:val="left"/>
      <w:pPr>
        <w:ind w:left="3994" w:hanging="420"/>
      </w:pPr>
    </w:lvl>
    <w:lvl w:ilvl="8" w:tentative="0">
      <w:start w:val="1"/>
      <w:numFmt w:val="lowerRoman"/>
      <w:lvlText w:val="%9."/>
      <w:lvlJc w:val="right"/>
      <w:pPr>
        <w:ind w:left="4414"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NotTrackMoves/>
  <w:documentProtection w:edit="readOnly" w:formatting="1" w:enforcement="0"/>
  <w:defaultTabStop w:val="420"/>
  <w:evenAndOddHeaders w:val="1"/>
  <w:drawingGridHorizontalSpacing w:val="158"/>
  <w:drawingGridVerticalSpacing w:val="579"/>
  <w:displayHorizont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DU5N2EyZjMyNTMzZWE0OGE4YjIzYTI5MmU2OWMifQ=="/>
  </w:docVars>
  <w:rsids>
    <w:rsidRoot w:val="007D1DCF"/>
    <w:rsid w:val="00001D23"/>
    <w:rsid w:val="00002F1D"/>
    <w:rsid w:val="00003D4D"/>
    <w:rsid w:val="0000433B"/>
    <w:rsid w:val="00004A12"/>
    <w:rsid w:val="0000753F"/>
    <w:rsid w:val="0001090F"/>
    <w:rsid w:val="000109D6"/>
    <w:rsid w:val="00012136"/>
    <w:rsid w:val="00012AD8"/>
    <w:rsid w:val="00012CF1"/>
    <w:rsid w:val="00012E6C"/>
    <w:rsid w:val="00013A25"/>
    <w:rsid w:val="0001506C"/>
    <w:rsid w:val="00015DB5"/>
    <w:rsid w:val="00017616"/>
    <w:rsid w:val="00017EBB"/>
    <w:rsid w:val="00020056"/>
    <w:rsid w:val="000202A1"/>
    <w:rsid w:val="00021F08"/>
    <w:rsid w:val="00023086"/>
    <w:rsid w:val="00023618"/>
    <w:rsid w:val="00024DCD"/>
    <w:rsid w:val="0002526A"/>
    <w:rsid w:val="00025E10"/>
    <w:rsid w:val="00030559"/>
    <w:rsid w:val="000307E9"/>
    <w:rsid w:val="0003255A"/>
    <w:rsid w:val="000325A5"/>
    <w:rsid w:val="00032BD0"/>
    <w:rsid w:val="00033128"/>
    <w:rsid w:val="00033D15"/>
    <w:rsid w:val="000344DA"/>
    <w:rsid w:val="00036FBB"/>
    <w:rsid w:val="00037CD9"/>
    <w:rsid w:val="0004035A"/>
    <w:rsid w:val="000416A9"/>
    <w:rsid w:val="000440A6"/>
    <w:rsid w:val="000450CF"/>
    <w:rsid w:val="00046059"/>
    <w:rsid w:val="00046994"/>
    <w:rsid w:val="0004714A"/>
    <w:rsid w:val="00047A18"/>
    <w:rsid w:val="000505E0"/>
    <w:rsid w:val="00050BAC"/>
    <w:rsid w:val="00050D9F"/>
    <w:rsid w:val="00052056"/>
    <w:rsid w:val="00052521"/>
    <w:rsid w:val="00052922"/>
    <w:rsid w:val="000537E1"/>
    <w:rsid w:val="00053B6C"/>
    <w:rsid w:val="000549AA"/>
    <w:rsid w:val="000550BB"/>
    <w:rsid w:val="00055830"/>
    <w:rsid w:val="00056565"/>
    <w:rsid w:val="00056962"/>
    <w:rsid w:val="0005711A"/>
    <w:rsid w:val="00061228"/>
    <w:rsid w:val="000613F6"/>
    <w:rsid w:val="00061E2A"/>
    <w:rsid w:val="00062503"/>
    <w:rsid w:val="00062E2C"/>
    <w:rsid w:val="00065527"/>
    <w:rsid w:val="00065A6F"/>
    <w:rsid w:val="00066B55"/>
    <w:rsid w:val="000678FB"/>
    <w:rsid w:val="0007203D"/>
    <w:rsid w:val="00072232"/>
    <w:rsid w:val="0007340B"/>
    <w:rsid w:val="00074384"/>
    <w:rsid w:val="00074CD8"/>
    <w:rsid w:val="00077A26"/>
    <w:rsid w:val="000807E6"/>
    <w:rsid w:val="000820EF"/>
    <w:rsid w:val="000823AA"/>
    <w:rsid w:val="0008295B"/>
    <w:rsid w:val="00083011"/>
    <w:rsid w:val="000836A4"/>
    <w:rsid w:val="00084702"/>
    <w:rsid w:val="000853D5"/>
    <w:rsid w:val="000858CA"/>
    <w:rsid w:val="0008719F"/>
    <w:rsid w:val="00090BA7"/>
    <w:rsid w:val="00091227"/>
    <w:rsid w:val="00091595"/>
    <w:rsid w:val="000928F6"/>
    <w:rsid w:val="000951D7"/>
    <w:rsid w:val="000966B4"/>
    <w:rsid w:val="00097902"/>
    <w:rsid w:val="00097CF6"/>
    <w:rsid w:val="000A0117"/>
    <w:rsid w:val="000A04F2"/>
    <w:rsid w:val="000A057B"/>
    <w:rsid w:val="000A13A1"/>
    <w:rsid w:val="000A1869"/>
    <w:rsid w:val="000A2827"/>
    <w:rsid w:val="000A4D18"/>
    <w:rsid w:val="000A7E3E"/>
    <w:rsid w:val="000B0465"/>
    <w:rsid w:val="000B2654"/>
    <w:rsid w:val="000B5080"/>
    <w:rsid w:val="000B538E"/>
    <w:rsid w:val="000B5A02"/>
    <w:rsid w:val="000B5BA8"/>
    <w:rsid w:val="000B5BC9"/>
    <w:rsid w:val="000B633E"/>
    <w:rsid w:val="000C01A2"/>
    <w:rsid w:val="000C2EB1"/>
    <w:rsid w:val="000C3607"/>
    <w:rsid w:val="000C3BAA"/>
    <w:rsid w:val="000C4F29"/>
    <w:rsid w:val="000D0793"/>
    <w:rsid w:val="000D22D6"/>
    <w:rsid w:val="000D3A34"/>
    <w:rsid w:val="000D3A8B"/>
    <w:rsid w:val="000D6B3C"/>
    <w:rsid w:val="000D7DE4"/>
    <w:rsid w:val="000D7F5F"/>
    <w:rsid w:val="000E215C"/>
    <w:rsid w:val="000E3A22"/>
    <w:rsid w:val="000E5A73"/>
    <w:rsid w:val="000E64CA"/>
    <w:rsid w:val="000E790D"/>
    <w:rsid w:val="000E7FFA"/>
    <w:rsid w:val="000F13E6"/>
    <w:rsid w:val="000F2560"/>
    <w:rsid w:val="000F3EDC"/>
    <w:rsid w:val="000F4A47"/>
    <w:rsid w:val="000F5169"/>
    <w:rsid w:val="000F61BD"/>
    <w:rsid w:val="000F76F8"/>
    <w:rsid w:val="000F7B68"/>
    <w:rsid w:val="00100783"/>
    <w:rsid w:val="00102FD5"/>
    <w:rsid w:val="00103A18"/>
    <w:rsid w:val="001054AD"/>
    <w:rsid w:val="00105C07"/>
    <w:rsid w:val="001067A7"/>
    <w:rsid w:val="00106E51"/>
    <w:rsid w:val="00106FB5"/>
    <w:rsid w:val="00107962"/>
    <w:rsid w:val="00107BEA"/>
    <w:rsid w:val="00110DF7"/>
    <w:rsid w:val="00110F85"/>
    <w:rsid w:val="00111AEE"/>
    <w:rsid w:val="00115090"/>
    <w:rsid w:val="00116385"/>
    <w:rsid w:val="00116BB2"/>
    <w:rsid w:val="00116CBE"/>
    <w:rsid w:val="00117345"/>
    <w:rsid w:val="00117C64"/>
    <w:rsid w:val="00121983"/>
    <w:rsid w:val="001223C1"/>
    <w:rsid w:val="001227D1"/>
    <w:rsid w:val="001229F6"/>
    <w:rsid w:val="00124719"/>
    <w:rsid w:val="00124FED"/>
    <w:rsid w:val="001258F3"/>
    <w:rsid w:val="00127A97"/>
    <w:rsid w:val="00127CBB"/>
    <w:rsid w:val="00130F0C"/>
    <w:rsid w:val="00130FE1"/>
    <w:rsid w:val="00133745"/>
    <w:rsid w:val="00134682"/>
    <w:rsid w:val="00134EDB"/>
    <w:rsid w:val="001350F2"/>
    <w:rsid w:val="00135D07"/>
    <w:rsid w:val="00136ECE"/>
    <w:rsid w:val="00140D14"/>
    <w:rsid w:val="00143CB8"/>
    <w:rsid w:val="0014404B"/>
    <w:rsid w:val="001460BC"/>
    <w:rsid w:val="0014623E"/>
    <w:rsid w:val="00146FE9"/>
    <w:rsid w:val="0015023E"/>
    <w:rsid w:val="0015458F"/>
    <w:rsid w:val="00154F57"/>
    <w:rsid w:val="00155844"/>
    <w:rsid w:val="00155A35"/>
    <w:rsid w:val="00157976"/>
    <w:rsid w:val="00160E7F"/>
    <w:rsid w:val="001610D7"/>
    <w:rsid w:val="00163728"/>
    <w:rsid w:val="00163869"/>
    <w:rsid w:val="00164862"/>
    <w:rsid w:val="00165671"/>
    <w:rsid w:val="001657D3"/>
    <w:rsid w:val="0016624F"/>
    <w:rsid w:val="0016661F"/>
    <w:rsid w:val="00170173"/>
    <w:rsid w:val="00174155"/>
    <w:rsid w:val="00174313"/>
    <w:rsid w:val="001752BA"/>
    <w:rsid w:val="00180024"/>
    <w:rsid w:val="00183AC2"/>
    <w:rsid w:val="001869ED"/>
    <w:rsid w:val="0018740E"/>
    <w:rsid w:val="0019020A"/>
    <w:rsid w:val="001902D0"/>
    <w:rsid w:val="00190320"/>
    <w:rsid w:val="00190E5C"/>
    <w:rsid w:val="0019152A"/>
    <w:rsid w:val="00191DFF"/>
    <w:rsid w:val="001923B4"/>
    <w:rsid w:val="001924F4"/>
    <w:rsid w:val="00192AB9"/>
    <w:rsid w:val="00192B71"/>
    <w:rsid w:val="001941A9"/>
    <w:rsid w:val="00194270"/>
    <w:rsid w:val="00195A62"/>
    <w:rsid w:val="00196C01"/>
    <w:rsid w:val="001A058D"/>
    <w:rsid w:val="001A0BE9"/>
    <w:rsid w:val="001A2E88"/>
    <w:rsid w:val="001A3AFB"/>
    <w:rsid w:val="001A5626"/>
    <w:rsid w:val="001A728F"/>
    <w:rsid w:val="001B1140"/>
    <w:rsid w:val="001B24D7"/>
    <w:rsid w:val="001B26B6"/>
    <w:rsid w:val="001B27A6"/>
    <w:rsid w:val="001B3379"/>
    <w:rsid w:val="001B58B9"/>
    <w:rsid w:val="001B658F"/>
    <w:rsid w:val="001B6B9B"/>
    <w:rsid w:val="001B6ED0"/>
    <w:rsid w:val="001C07AE"/>
    <w:rsid w:val="001C0B9C"/>
    <w:rsid w:val="001C12CD"/>
    <w:rsid w:val="001C200F"/>
    <w:rsid w:val="001C2D96"/>
    <w:rsid w:val="001C2FB7"/>
    <w:rsid w:val="001C3077"/>
    <w:rsid w:val="001C473D"/>
    <w:rsid w:val="001C4A54"/>
    <w:rsid w:val="001C596C"/>
    <w:rsid w:val="001D17C0"/>
    <w:rsid w:val="001D1AB0"/>
    <w:rsid w:val="001D1DAA"/>
    <w:rsid w:val="001D214D"/>
    <w:rsid w:val="001D2353"/>
    <w:rsid w:val="001D4BDF"/>
    <w:rsid w:val="001D61BD"/>
    <w:rsid w:val="001D73C7"/>
    <w:rsid w:val="001D73FE"/>
    <w:rsid w:val="001E02DC"/>
    <w:rsid w:val="001E0FE6"/>
    <w:rsid w:val="001E1BA9"/>
    <w:rsid w:val="001E4114"/>
    <w:rsid w:val="001E5110"/>
    <w:rsid w:val="001F0427"/>
    <w:rsid w:val="001F0C27"/>
    <w:rsid w:val="001F11FF"/>
    <w:rsid w:val="001F341C"/>
    <w:rsid w:val="001F49EA"/>
    <w:rsid w:val="001F639E"/>
    <w:rsid w:val="00200E0C"/>
    <w:rsid w:val="00201214"/>
    <w:rsid w:val="00201389"/>
    <w:rsid w:val="00201FCE"/>
    <w:rsid w:val="00202536"/>
    <w:rsid w:val="00203022"/>
    <w:rsid w:val="00203258"/>
    <w:rsid w:val="002049DA"/>
    <w:rsid w:val="0020531C"/>
    <w:rsid w:val="002057EC"/>
    <w:rsid w:val="0020621F"/>
    <w:rsid w:val="00206D0D"/>
    <w:rsid w:val="002075C0"/>
    <w:rsid w:val="00207880"/>
    <w:rsid w:val="00210273"/>
    <w:rsid w:val="00211302"/>
    <w:rsid w:val="00211460"/>
    <w:rsid w:val="002121C7"/>
    <w:rsid w:val="0021617C"/>
    <w:rsid w:val="002161E9"/>
    <w:rsid w:val="00216378"/>
    <w:rsid w:val="00216B79"/>
    <w:rsid w:val="00220BDB"/>
    <w:rsid w:val="00221AA2"/>
    <w:rsid w:val="00221AA3"/>
    <w:rsid w:val="00221F30"/>
    <w:rsid w:val="00222DA0"/>
    <w:rsid w:val="0022380D"/>
    <w:rsid w:val="00224319"/>
    <w:rsid w:val="002246BE"/>
    <w:rsid w:val="00224F4F"/>
    <w:rsid w:val="00225421"/>
    <w:rsid w:val="00226CF9"/>
    <w:rsid w:val="00226EC4"/>
    <w:rsid w:val="00226F00"/>
    <w:rsid w:val="0022752D"/>
    <w:rsid w:val="00227947"/>
    <w:rsid w:val="002307CA"/>
    <w:rsid w:val="00230EE8"/>
    <w:rsid w:val="00231C7E"/>
    <w:rsid w:val="00233F1D"/>
    <w:rsid w:val="00234096"/>
    <w:rsid w:val="00234B06"/>
    <w:rsid w:val="00234C28"/>
    <w:rsid w:val="0023637C"/>
    <w:rsid w:val="00236C95"/>
    <w:rsid w:val="002375D9"/>
    <w:rsid w:val="00241392"/>
    <w:rsid w:val="002422D4"/>
    <w:rsid w:val="00244390"/>
    <w:rsid w:val="00244EDC"/>
    <w:rsid w:val="00244F63"/>
    <w:rsid w:val="00246024"/>
    <w:rsid w:val="0025089B"/>
    <w:rsid w:val="00250F9E"/>
    <w:rsid w:val="00252769"/>
    <w:rsid w:val="00253577"/>
    <w:rsid w:val="00254B9B"/>
    <w:rsid w:val="00254EE4"/>
    <w:rsid w:val="00255613"/>
    <w:rsid w:val="00255F99"/>
    <w:rsid w:val="00256215"/>
    <w:rsid w:val="00256842"/>
    <w:rsid w:val="00256B1B"/>
    <w:rsid w:val="002577D3"/>
    <w:rsid w:val="00260254"/>
    <w:rsid w:val="00260EC3"/>
    <w:rsid w:val="002624B6"/>
    <w:rsid w:val="002634E3"/>
    <w:rsid w:val="00263BBD"/>
    <w:rsid w:val="00263EB5"/>
    <w:rsid w:val="00264884"/>
    <w:rsid w:val="00265D52"/>
    <w:rsid w:val="00265E2F"/>
    <w:rsid w:val="002675F4"/>
    <w:rsid w:val="00270BB7"/>
    <w:rsid w:val="00270C46"/>
    <w:rsid w:val="0027236A"/>
    <w:rsid w:val="002747AF"/>
    <w:rsid w:val="0027734B"/>
    <w:rsid w:val="00277931"/>
    <w:rsid w:val="0028041F"/>
    <w:rsid w:val="00280470"/>
    <w:rsid w:val="0028094B"/>
    <w:rsid w:val="00281A12"/>
    <w:rsid w:val="00281C3C"/>
    <w:rsid w:val="00282FCE"/>
    <w:rsid w:val="0028445A"/>
    <w:rsid w:val="00284AB5"/>
    <w:rsid w:val="00285074"/>
    <w:rsid w:val="002857F8"/>
    <w:rsid w:val="002878FF"/>
    <w:rsid w:val="00287F49"/>
    <w:rsid w:val="00290633"/>
    <w:rsid w:val="00291555"/>
    <w:rsid w:val="00291E57"/>
    <w:rsid w:val="002927D3"/>
    <w:rsid w:val="00293701"/>
    <w:rsid w:val="002945BF"/>
    <w:rsid w:val="002961B3"/>
    <w:rsid w:val="0029625D"/>
    <w:rsid w:val="002A10D6"/>
    <w:rsid w:val="002A1C00"/>
    <w:rsid w:val="002A3E96"/>
    <w:rsid w:val="002A447F"/>
    <w:rsid w:val="002A4696"/>
    <w:rsid w:val="002A4E6A"/>
    <w:rsid w:val="002A58FB"/>
    <w:rsid w:val="002A63CB"/>
    <w:rsid w:val="002A763C"/>
    <w:rsid w:val="002A7FBB"/>
    <w:rsid w:val="002B07CE"/>
    <w:rsid w:val="002B097D"/>
    <w:rsid w:val="002B0C15"/>
    <w:rsid w:val="002B0DE0"/>
    <w:rsid w:val="002B11BE"/>
    <w:rsid w:val="002B2053"/>
    <w:rsid w:val="002B372A"/>
    <w:rsid w:val="002B3A24"/>
    <w:rsid w:val="002B3F0F"/>
    <w:rsid w:val="002B449C"/>
    <w:rsid w:val="002B52A4"/>
    <w:rsid w:val="002B57E1"/>
    <w:rsid w:val="002B5FC5"/>
    <w:rsid w:val="002B650B"/>
    <w:rsid w:val="002B6EAE"/>
    <w:rsid w:val="002C1947"/>
    <w:rsid w:val="002C2805"/>
    <w:rsid w:val="002C2B96"/>
    <w:rsid w:val="002C309F"/>
    <w:rsid w:val="002C314B"/>
    <w:rsid w:val="002C5029"/>
    <w:rsid w:val="002C5914"/>
    <w:rsid w:val="002C5BB9"/>
    <w:rsid w:val="002C6301"/>
    <w:rsid w:val="002C664E"/>
    <w:rsid w:val="002D1521"/>
    <w:rsid w:val="002D1B91"/>
    <w:rsid w:val="002D5225"/>
    <w:rsid w:val="002D5850"/>
    <w:rsid w:val="002D5EBD"/>
    <w:rsid w:val="002D5FE6"/>
    <w:rsid w:val="002D6194"/>
    <w:rsid w:val="002D6C61"/>
    <w:rsid w:val="002E1C75"/>
    <w:rsid w:val="002E26DD"/>
    <w:rsid w:val="002E3D72"/>
    <w:rsid w:val="002E40AC"/>
    <w:rsid w:val="002E4F35"/>
    <w:rsid w:val="002E5241"/>
    <w:rsid w:val="002E5262"/>
    <w:rsid w:val="002E6C0F"/>
    <w:rsid w:val="002E6CE4"/>
    <w:rsid w:val="002F0BD5"/>
    <w:rsid w:val="002F0C29"/>
    <w:rsid w:val="002F158A"/>
    <w:rsid w:val="002F28C2"/>
    <w:rsid w:val="002F2C32"/>
    <w:rsid w:val="002F47D5"/>
    <w:rsid w:val="002F4F94"/>
    <w:rsid w:val="002F52AC"/>
    <w:rsid w:val="002F53F3"/>
    <w:rsid w:val="002F5D54"/>
    <w:rsid w:val="002F666B"/>
    <w:rsid w:val="002F6CBE"/>
    <w:rsid w:val="002F7F86"/>
    <w:rsid w:val="00300208"/>
    <w:rsid w:val="00300445"/>
    <w:rsid w:val="003009D2"/>
    <w:rsid w:val="003034E1"/>
    <w:rsid w:val="00303D3F"/>
    <w:rsid w:val="0030497C"/>
    <w:rsid w:val="003056FC"/>
    <w:rsid w:val="00305C5C"/>
    <w:rsid w:val="00306C2E"/>
    <w:rsid w:val="00307C04"/>
    <w:rsid w:val="003101B9"/>
    <w:rsid w:val="00311412"/>
    <w:rsid w:val="0031197D"/>
    <w:rsid w:val="0031202B"/>
    <w:rsid w:val="0031235A"/>
    <w:rsid w:val="00312FAC"/>
    <w:rsid w:val="00313C42"/>
    <w:rsid w:val="00314057"/>
    <w:rsid w:val="00314269"/>
    <w:rsid w:val="00314410"/>
    <w:rsid w:val="00315E55"/>
    <w:rsid w:val="00316364"/>
    <w:rsid w:val="0031645F"/>
    <w:rsid w:val="0031686F"/>
    <w:rsid w:val="0031728A"/>
    <w:rsid w:val="00321C40"/>
    <w:rsid w:val="0032258B"/>
    <w:rsid w:val="00322D20"/>
    <w:rsid w:val="003238A3"/>
    <w:rsid w:val="00325D0A"/>
    <w:rsid w:val="00326437"/>
    <w:rsid w:val="00331010"/>
    <w:rsid w:val="003314E5"/>
    <w:rsid w:val="00331E76"/>
    <w:rsid w:val="00332ADD"/>
    <w:rsid w:val="00333D62"/>
    <w:rsid w:val="003352C3"/>
    <w:rsid w:val="0033546E"/>
    <w:rsid w:val="00335B8B"/>
    <w:rsid w:val="00336605"/>
    <w:rsid w:val="0034201B"/>
    <w:rsid w:val="00342842"/>
    <w:rsid w:val="003431CE"/>
    <w:rsid w:val="003432DE"/>
    <w:rsid w:val="00343442"/>
    <w:rsid w:val="00343C9B"/>
    <w:rsid w:val="00345135"/>
    <w:rsid w:val="00345F22"/>
    <w:rsid w:val="00350599"/>
    <w:rsid w:val="0035085F"/>
    <w:rsid w:val="00350A5B"/>
    <w:rsid w:val="00350B78"/>
    <w:rsid w:val="0035214D"/>
    <w:rsid w:val="00353323"/>
    <w:rsid w:val="00362E5D"/>
    <w:rsid w:val="00365595"/>
    <w:rsid w:val="003663DD"/>
    <w:rsid w:val="00370449"/>
    <w:rsid w:val="0037077A"/>
    <w:rsid w:val="003707B0"/>
    <w:rsid w:val="00370A0A"/>
    <w:rsid w:val="003713B6"/>
    <w:rsid w:val="003716E8"/>
    <w:rsid w:val="00371BF8"/>
    <w:rsid w:val="00372CCE"/>
    <w:rsid w:val="00373DB7"/>
    <w:rsid w:val="00374AF8"/>
    <w:rsid w:val="00374F15"/>
    <w:rsid w:val="003754B7"/>
    <w:rsid w:val="00375891"/>
    <w:rsid w:val="00375A41"/>
    <w:rsid w:val="003762FB"/>
    <w:rsid w:val="00377769"/>
    <w:rsid w:val="00381150"/>
    <w:rsid w:val="00381AC0"/>
    <w:rsid w:val="003822EE"/>
    <w:rsid w:val="00383191"/>
    <w:rsid w:val="00384655"/>
    <w:rsid w:val="00386120"/>
    <w:rsid w:val="003879E3"/>
    <w:rsid w:val="003901B3"/>
    <w:rsid w:val="00390399"/>
    <w:rsid w:val="00391B72"/>
    <w:rsid w:val="00391E2B"/>
    <w:rsid w:val="003942CD"/>
    <w:rsid w:val="00397072"/>
    <w:rsid w:val="003A2A3A"/>
    <w:rsid w:val="003A395F"/>
    <w:rsid w:val="003A3D45"/>
    <w:rsid w:val="003A4F60"/>
    <w:rsid w:val="003A636C"/>
    <w:rsid w:val="003A681D"/>
    <w:rsid w:val="003A7125"/>
    <w:rsid w:val="003A7E5E"/>
    <w:rsid w:val="003B09C4"/>
    <w:rsid w:val="003B1663"/>
    <w:rsid w:val="003B2584"/>
    <w:rsid w:val="003B31F6"/>
    <w:rsid w:val="003B3651"/>
    <w:rsid w:val="003B423E"/>
    <w:rsid w:val="003B63F1"/>
    <w:rsid w:val="003B76C5"/>
    <w:rsid w:val="003C0C6F"/>
    <w:rsid w:val="003C1B20"/>
    <w:rsid w:val="003C289C"/>
    <w:rsid w:val="003C2D5B"/>
    <w:rsid w:val="003C3E22"/>
    <w:rsid w:val="003C6175"/>
    <w:rsid w:val="003C78E9"/>
    <w:rsid w:val="003C7C1B"/>
    <w:rsid w:val="003C7CE6"/>
    <w:rsid w:val="003D0DBB"/>
    <w:rsid w:val="003D0EA2"/>
    <w:rsid w:val="003D1521"/>
    <w:rsid w:val="003D1D4A"/>
    <w:rsid w:val="003D3494"/>
    <w:rsid w:val="003D39CE"/>
    <w:rsid w:val="003D45BF"/>
    <w:rsid w:val="003D4C34"/>
    <w:rsid w:val="003D62A4"/>
    <w:rsid w:val="003D637C"/>
    <w:rsid w:val="003D6F9A"/>
    <w:rsid w:val="003E0532"/>
    <w:rsid w:val="003E075F"/>
    <w:rsid w:val="003E0766"/>
    <w:rsid w:val="003E0A10"/>
    <w:rsid w:val="003E0CC2"/>
    <w:rsid w:val="003E197F"/>
    <w:rsid w:val="003E1D78"/>
    <w:rsid w:val="003E325D"/>
    <w:rsid w:val="003E43B5"/>
    <w:rsid w:val="003E573E"/>
    <w:rsid w:val="003E6DC4"/>
    <w:rsid w:val="003E7B2F"/>
    <w:rsid w:val="003F1154"/>
    <w:rsid w:val="003F28C9"/>
    <w:rsid w:val="003F36F9"/>
    <w:rsid w:val="003F67D5"/>
    <w:rsid w:val="003F7406"/>
    <w:rsid w:val="003F7560"/>
    <w:rsid w:val="003F7C1D"/>
    <w:rsid w:val="003F7C93"/>
    <w:rsid w:val="003F7E50"/>
    <w:rsid w:val="00400DDD"/>
    <w:rsid w:val="0040145C"/>
    <w:rsid w:val="00401A2C"/>
    <w:rsid w:val="004022E7"/>
    <w:rsid w:val="004023B6"/>
    <w:rsid w:val="00402501"/>
    <w:rsid w:val="004029A8"/>
    <w:rsid w:val="00403BBD"/>
    <w:rsid w:val="00404212"/>
    <w:rsid w:val="00404E09"/>
    <w:rsid w:val="0040516D"/>
    <w:rsid w:val="0040644F"/>
    <w:rsid w:val="004065D5"/>
    <w:rsid w:val="004101E6"/>
    <w:rsid w:val="00412233"/>
    <w:rsid w:val="004131CC"/>
    <w:rsid w:val="004146A3"/>
    <w:rsid w:val="00414D23"/>
    <w:rsid w:val="004159A1"/>
    <w:rsid w:val="00415B2F"/>
    <w:rsid w:val="00415BC7"/>
    <w:rsid w:val="00415FE9"/>
    <w:rsid w:val="00416171"/>
    <w:rsid w:val="00420032"/>
    <w:rsid w:val="0042015A"/>
    <w:rsid w:val="0042295D"/>
    <w:rsid w:val="0042574D"/>
    <w:rsid w:val="0042660B"/>
    <w:rsid w:val="0042724C"/>
    <w:rsid w:val="004278F0"/>
    <w:rsid w:val="00427A64"/>
    <w:rsid w:val="00431BF4"/>
    <w:rsid w:val="00431E0A"/>
    <w:rsid w:val="004322C5"/>
    <w:rsid w:val="00432421"/>
    <w:rsid w:val="00433443"/>
    <w:rsid w:val="0043447E"/>
    <w:rsid w:val="00434637"/>
    <w:rsid w:val="004359B0"/>
    <w:rsid w:val="004360B8"/>
    <w:rsid w:val="004375F3"/>
    <w:rsid w:val="0044023E"/>
    <w:rsid w:val="004406DE"/>
    <w:rsid w:val="00441BD5"/>
    <w:rsid w:val="00441FB1"/>
    <w:rsid w:val="00446E2C"/>
    <w:rsid w:val="0044712F"/>
    <w:rsid w:val="00447F75"/>
    <w:rsid w:val="00450C91"/>
    <w:rsid w:val="004515F7"/>
    <w:rsid w:val="00451855"/>
    <w:rsid w:val="00452187"/>
    <w:rsid w:val="0045282A"/>
    <w:rsid w:val="00452955"/>
    <w:rsid w:val="00460A9D"/>
    <w:rsid w:val="00460F32"/>
    <w:rsid w:val="00462903"/>
    <w:rsid w:val="004636B9"/>
    <w:rsid w:val="00463F8D"/>
    <w:rsid w:val="0046566C"/>
    <w:rsid w:val="0046612E"/>
    <w:rsid w:val="0046618A"/>
    <w:rsid w:val="00466799"/>
    <w:rsid w:val="004667A7"/>
    <w:rsid w:val="00466D66"/>
    <w:rsid w:val="00467EB9"/>
    <w:rsid w:val="00472004"/>
    <w:rsid w:val="00472064"/>
    <w:rsid w:val="004737C1"/>
    <w:rsid w:val="0047380B"/>
    <w:rsid w:val="00473F73"/>
    <w:rsid w:val="00475915"/>
    <w:rsid w:val="00476EBA"/>
    <w:rsid w:val="0048024F"/>
    <w:rsid w:val="00483BD0"/>
    <w:rsid w:val="00483F6F"/>
    <w:rsid w:val="00485ADA"/>
    <w:rsid w:val="00485CE3"/>
    <w:rsid w:val="004905F0"/>
    <w:rsid w:val="00491A30"/>
    <w:rsid w:val="004944B1"/>
    <w:rsid w:val="00495072"/>
    <w:rsid w:val="00495707"/>
    <w:rsid w:val="00495AB4"/>
    <w:rsid w:val="00496B4C"/>
    <w:rsid w:val="004A0834"/>
    <w:rsid w:val="004A0F93"/>
    <w:rsid w:val="004A28CC"/>
    <w:rsid w:val="004A43CF"/>
    <w:rsid w:val="004A5443"/>
    <w:rsid w:val="004B27AA"/>
    <w:rsid w:val="004B29A9"/>
    <w:rsid w:val="004B2B6E"/>
    <w:rsid w:val="004B2DFE"/>
    <w:rsid w:val="004B30F7"/>
    <w:rsid w:val="004B3CB0"/>
    <w:rsid w:val="004B458A"/>
    <w:rsid w:val="004B490F"/>
    <w:rsid w:val="004B581F"/>
    <w:rsid w:val="004B6B4F"/>
    <w:rsid w:val="004C07B8"/>
    <w:rsid w:val="004C11C4"/>
    <w:rsid w:val="004C1FC2"/>
    <w:rsid w:val="004C21D6"/>
    <w:rsid w:val="004C23FF"/>
    <w:rsid w:val="004C344F"/>
    <w:rsid w:val="004C3B26"/>
    <w:rsid w:val="004C518D"/>
    <w:rsid w:val="004C725F"/>
    <w:rsid w:val="004C7625"/>
    <w:rsid w:val="004D00CE"/>
    <w:rsid w:val="004D0FEA"/>
    <w:rsid w:val="004D1344"/>
    <w:rsid w:val="004D13D9"/>
    <w:rsid w:val="004D354C"/>
    <w:rsid w:val="004D468D"/>
    <w:rsid w:val="004D4B8F"/>
    <w:rsid w:val="004D548C"/>
    <w:rsid w:val="004E0C71"/>
    <w:rsid w:val="004E0FE2"/>
    <w:rsid w:val="004E1395"/>
    <w:rsid w:val="004E28AE"/>
    <w:rsid w:val="004E51FC"/>
    <w:rsid w:val="004E52CD"/>
    <w:rsid w:val="004E64BA"/>
    <w:rsid w:val="004E6A34"/>
    <w:rsid w:val="004E71A2"/>
    <w:rsid w:val="004E7A10"/>
    <w:rsid w:val="004F16F7"/>
    <w:rsid w:val="004F3231"/>
    <w:rsid w:val="004F5D7D"/>
    <w:rsid w:val="004F6094"/>
    <w:rsid w:val="004F6674"/>
    <w:rsid w:val="004F6ABC"/>
    <w:rsid w:val="00500387"/>
    <w:rsid w:val="005022DC"/>
    <w:rsid w:val="005029DA"/>
    <w:rsid w:val="00502FE8"/>
    <w:rsid w:val="0050365C"/>
    <w:rsid w:val="00504070"/>
    <w:rsid w:val="0050496E"/>
    <w:rsid w:val="00505C25"/>
    <w:rsid w:val="00505C6B"/>
    <w:rsid w:val="00506B43"/>
    <w:rsid w:val="005104BA"/>
    <w:rsid w:val="00511DAE"/>
    <w:rsid w:val="005121E1"/>
    <w:rsid w:val="0051550F"/>
    <w:rsid w:val="0051605A"/>
    <w:rsid w:val="005218B7"/>
    <w:rsid w:val="00521EA3"/>
    <w:rsid w:val="0052283D"/>
    <w:rsid w:val="00523966"/>
    <w:rsid w:val="00525D27"/>
    <w:rsid w:val="00525F7A"/>
    <w:rsid w:val="00526243"/>
    <w:rsid w:val="00527918"/>
    <w:rsid w:val="00530138"/>
    <w:rsid w:val="00530DA2"/>
    <w:rsid w:val="00530F9C"/>
    <w:rsid w:val="005345B0"/>
    <w:rsid w:val="00534AAE"/>
    <w:rsid w:val="00535AB3"/>
    <w:rsid w:val="005363EC"/>
    <w:rsid w:val="00536745"/>
    <w:rsid w:val="0053689D"/>
    <w:rsid w:val="00537AE2"/>
    <w:rsid w:val="00537D4E"/>
    <w:rsid w:val="00541179"/>
    <w:rsid w:val="005418D0"/>
    <w:rsid w:val="00546B22"/>
    <w:rsid w:val="00546B83"/>
    <w:rsid w:val="00546B8E"/>
    <w:rsid w:val="0055091B"/>
    <w:rsid w:val="005536E3"/>
    <w:rsid w:val="00553CBE"/>
    <w:rsid w:val="005540D8"/>
    <w:rsid w:val="005551D8"/>
    <w:rsid w:val="00556B61"/>
    <w:rsid w:val="00556B65"/>
    <w:rsid w:val="00556DEB"/>
    <w:rsid w:val="005577CA"/>
    <w:rsid w:val="005614AF"/>
    <w:rsid w:val="005638A4"/>
    <w:rsid w:val="00563CAD"/>
    <w:rsid w:val="00563DF5"/>
    <w:rsid w:val="00564267"/>
    <w:rsid w:val="0056435E"/>
    <w:rsid w:val="0056448E"/>
    <w:rsid w:val="00564976"/>
    <w:rsid w:val="005653AE"/>
    <w:rsid w:val="0057034A"/>
    <w:rsid w:val="00570C0A"/>
    <w:rsid w:val="00570DD3"/>
    <w:rsid w:val="005712AA"/>
    <w:rsid w:val="00572ECF"/>
    <w:rsid w:val="0057515A"/>
    <w:rsid w:val="005766F3"/>
    <w:rsid w:val="00576F4F"/>
    <w:rsid w:val="005800BA"/>
    <w:rsid w:val="005808E4"/>
    <w:rsid w:val="005855C6"/>
    <w:rsid w:val="005855CD"/>
    <w:rsid w:val="0059110D"/>
    <w:rsid w:val="00591FA1"/>
    <w:rsid w:val="00593E0A"/>
    <w:rsid w:val="00594CB4"/>
    <w:rsid w:val="005967B5"/>
    <w:rsid w:val="00596CEB"/>
    <w:rsid w:val="00597177"/>
    <w:rsid w:val="00597BD4"/>
    <w:rsid w:val="005A0003"/>
    <w:rsid w:val="005A1960"/>
    <w:rsid w:val="005A2007"/>
    <w:rsid w:val="005A2FBA"/>
    <w:rsid w:val="005A3534"/>
    <w:rsid w:val="005A5169"/>
    <w:rsid w:val="005A5629"/>
    <w:rsid w:val="005A56A3"/>
    <w:rsid w:val="005A5ABD"/>
    <w:rsid w:val="005A6CA5"/>
    <w:rsid w:val="005A7926"/>
    <w:rsid w:val="005A7A04"/>
    <w:rsid w:val="005B0315"/>
    <w:rsid w:val="005B2BC4"/>
    <w:rsid w:val="005B5E8F"/>
    <w:rsid w:val="005B6499"/>
    <w:rsid w:val="005B7684"/>
    <w:rsid w:val="005C1440"/>
    <w:rsid w:val="005C2189"/>
    <w:rsid w:val="005C2634"/>
    <w:rsid w:val="005C2E3D"/>
    <w:rsid w:val="005C3717"/>
    <w:rsid w:val="005C3A32"/>
    <w:rsid w:val="005C3F60"/>
    <w:rsid w:val="005C5775"/>
    <w:rsid w:val="005C6896"/>
    <w:rsid w:val="005C7B2F"/>
    <w:rsid w:val="005D0D33"/>
    <w:rsid w:val="005D0D9B"/>
    <w:rsid w:val="005D1C2F"/>
    <w:rsid w:val="005D26F0"/>
    <w:rsid w:val="005D302B"/>
    <w:rsid w:val="005D328B"/>
    <w:rsid w:val="005D3B92"/>
    <w:rsid w:val="005D73B0"/>
    <w:rsid w:val="005D73B2"/>
    <w:rsid w:val="005D7B18"/>
    <w:rsid w:val="005D7F99"/>
    <w:rsid w:val="005E079F"/>
    <w:rsid w:val="005E3A43"/>
    <w:rsid w:val="005E42F0"/>
    <w:rsid w:val="005E43B0"/>
    <w:rsid w:val="005E7812"/>
    <w:rsid w:val="005F11B8"/>
    <w:rsid w:val="005F21E4"/>
    <w:rsid w:val="005F2DE0"/>
    <w:rsid w:val="005F33F3"/>
    <w:rsid w:val="005F40D6"/>
    <w:rsid w:val="005F44E7"/>
    <w:rsid w:val="005F71A5"/>
    <w:rsid w:val="005F73DF"/>
    <w:rsid w:val="006009CD"/>
    <w:rsid w:val="006014B1"/>
    <w:rsid w:val="00601797"/>
    <w:rsid w:val="0060227F"/>
    <w:rsid w:val="006023DF"/>
    <w:rsid w:val="00604FF4"/>
    <w:rsid w:val="006057E4"/>
    <w:rsid w:val="00611C50"/>
    <w:rsid w:val="006121A6"/>
    <w:rsid w:val="00612E0B"/>
    <w:rsid w:val="0061341C"/>
    <w:rsid w:val="00613B52"/>
    <w:rsid w:val="006162A4"/>
    <w:rsid w:val="00620273"/>
    <w:rsid w:val="006205F9"/>
    <w:rsid w:val="00620FE3"/>
    <w:rsid w:val="006219C1"/>
    <w:rsid w:val="0062245D"/>
    <w:rsid w:val="00624248"/>
    <w:rsid w:val="006250CC"/>
    <w:rsid w:val="00625A90"/>
    <w:rsid w:val="00626537"/>
    <w:rsid w:val="0062694A"/>
    <w:rsid w:val="00626FD3"/>
    <w:rsid w:val="00627213"/>
    <w:rsid w:val="00627945"/>
    <w:rsid w:val="00627F3E"/>
    <w:rsid w:val="00630251"/>
    <w:rsid w:val="0063059F"/>
    <w:rsid w:val="006310B0"/>
    <w:rsid w:val="0063153F"/>
    <w:rsid w:val="00631B46"/>
    <w:rsid w:val="00636383"/>
    <w:rsid w:val="00637C9C"/>
    <w:rsid w:val="00640779"/>
    <w:rsid w:val="00641CD9"/>
    <w:rsid w:val="006422B9"/>
    <w:rsid w:val="0064347D"/>
    <w:rsid w:val="00644B43"/>
    <w:rsid w:val="00644DEF"/>
    <w:rsid w:val="006455E0"/>
    <w:rsid w:val="006509C3"/>
    <w:rsid w:val="00652BA0"/>
    <w:rsid w:val="006539D2"/>
    <w:rsid w:val="0065413D"/>
    <w:rsid w:val="00655AF9"/>
    <w:rsid w:val="006566B7"/>
    <w:rsid w:val="00656987"/>
    <w:rsid w:val="0065736A"/>
    <w:rsid w:val="006574EA"/>
    <w:rsid w:val="0065778B"/>
    <w:rsid w:val="00657D3E"/>
    <w:rsid w:val="00660237"/>
    <w:rsid w:val="006608D7"/>
    <w:rsid w:val="0066192C"/>
    <w:rsid w:val="00661D7F"/>
    <w:rsid w:val="00662912"/>
    <w:rsid w:val="00662DB4"/>
    <w:rsid w:val="0066311D"/>
    <w:rsid w:val="0066490A"/>
    <w:rsid w:val="00671199"/>
    <w:rsid w:val="00671CE7"/>
    <w:rsid w:val="006721A1"/>
    <w:rsid w:val="006722EF"/>
    <w:rsid w:val="00672973"/>
    <w:rsid w:val="00674C0F"/>
    <w:rsid w:val="00674C43"/>
    <w:rsid w:val="006751CE"/>
    <w:rsid w:val="00676995"/>
    <w:rsid w:val="00676DBD"/>
    <w:rsid w:val="0068007B"/>
    <w:rsid w:val="0068137B"/>
    <w:rsid w:val="00681D0C"/>
    <w:rsid w:val="00682459"/>
    <w:rsid w:val="00683038"/>
    <w:rsid w:val="0068350C"/>
    <w:rsid w:val="00683C50"/>
    <w:rsid w:val="0068441E"/>
    <w:rsid w:val="00685F2F"/>
    <w:rsid w:val="00686B08"/>
    <w:rsid w:val="0068732E"/>
    <w:rsid w:val="00690E09"/>
    <w:rsid w:val="00692074"/>
    <w:rsid w:val="0069417D"/>
    <w:rsid w:val="006941CE"/>
    <w:rsid w:val="006945AD"/>
    <w:rsid w:val="00694922"/>
    <w:rsid w:val="006954B0"/>
    <w:rsid w:val="0069636D"/>
    <w:rsid w:val="00697DFD"/>
    <w:rsid w:val="006A1135"/>
    <w:rsid w:val="006A2389"/>
    <w:rsid w:val="006A5004"/>
    <w:rsid w:val="006B03F0"/>
    <w:rsid w:val="006B04D6"/>
    <w:rsid w:val="006B27BD"/>
    <w:rsid w:val="006B6263"/>
    <w:rsid w:val="006C0C90"/>
    <w:rsid w:val="006C0F6A"/>
    <w:rsid w:val="006C19C1"/>
    <w:rsid w:val="006C2349"/>
    <w:rsid w:val="006C26BE"/>
    <w:rsid w:val="006C2748"/>
    <w:rsid w:val="006C39ED"/>
    <w:rsid w:val="006C4791"/>
    <w:rsid w:val="006C4FEA"/>
    <w:rsid w:val="006C556B"/>
    <w:rsid w:val="006C55F4"/>
    <w:rsid w:val="006C6C69"/>
    <w:rsid w:val="006C7981"/>
    <w:rsid w:val="006D0441"/>
    <w:rsid w:val="006D05F1"/>
    <w:rsid w:val="006D229F"/>
    <w:rsid w:val="006D2F7B"/>
    <w:rsid w:val="006D43FB"/>
    <w:rsid w:val="006D4713"/>
    <w:rsid w:val="006D4840"/>
    <w:rsid w:val="006D545F"/>
    <w:rsid w:val="006D5BED"/>
    <w:rsid w:val="006D6C3C"/>
    <w:rsid w:val="006D779C"/>
    <w:rsid w:val="006E00FC"/>
    <w:rsid w:val="006E0306"/>
    <w:rsid w:val="006E049E"/>
    <w:rsid w:val="006E1292"/>
    <w:rsid w:val="006E2AD9"/>
    <w:rsid w:val="006E362E"/>
    <w:rsid w:val="006E43A0"/>
    <w:rsid w:val="006E500F"/>
    <w:rsid w:val="006E59B4"/>
    <w:rsid w:val="006E5D2F"/>
    <w:rsid w:val="006E6183"/>
    <w:rsid w:val="006E7072"/>
    <w:rsid w:val="006F17C6"/>
    <w:rsid w:val="006F1C3F"/>
    <w:rsid w:val="006F23EF"/>
    <w:rsid w:val="006F35AA"/>
    <w:rsid w:val="006F5C2F"/>
    <w:rsid w:val="006F7025"/>
    <w:rsid w:val="006F7287"/>
    <w:rsid w:val="006F7539"/>
    <w:rsid w:val="007023F6"/>
    <w:rsid w:val="00704CB4"/>
    <w:rsid w:val="007050B2"/>
    <w:rsid w:val="00710553"/>
    <w:rsid w:val="00710872"/>
    <w:rsid w:val="00710B02"/>
    <w:rsid w:val="00710C33"/>
    <w:rsid w:val="007114EF"/>
    <w:rsid w:val="007135E9"/>
    <w:rsid w:val="0071772C"/>
    <w:rsid w:val="007177E2"/>
    <w:rsid w:val="00720420"/>
    <w:rsid w:val="00720B6A"/>
    <w:rsid w:val="00722008"/>
    <w:rsid w:val="00724F22"/>
    <w:rsid w:val="00725D4D"/>
    <w:rsid w:val="00726785"/>
    <w:rsid w:val="007267DE"/>
    <w:rsid w:val="007269DE"/>
    <w:rsid w:val="007300EE"/>
    <w:rsid w:val="007304E3"/>
    <w:rsid w:val="00730645"/>
    <w:rsid w:val="00731D10"/>
    <w:rsid w:val="0073259D"/>
    <w:rsid w:val="00732A6E"/>
    <w:rsid w:val="00732C43"/>
    <w:rsid w:val="00733A76"/>
    <w:rsid w:val="00733ECC"/>
    <w:rsid w:val="00736AB2"/>
    <w:rsid w:val="0073736A"/>
    <w:rsid w:val="00740196"/>
    <w:rsid w:val="00741D4B"/>
    <w:rsid w:val="00743DA4"/>
    <w:rsid w:val="0074565D"/>
    <w:rsid w:val="00745683"/>
    <w:rsid w:val="00745DD7"/>
    <w:rsid w:val="00747D8C"/>
    <w:rsid w:val="007506E8"/>
    <w:rsid w:val="007509A3"/>
    <w:rsid w:val="00751300"/>
    <w:rsid w:val="00751317"/>
    <w:rsid w:val="00751CDB"/>
    <w:rsid w:val="00753B1A"/>
    <w:rsid w:val="007546F9"/>
    <w:rsid w:val="00754903"/>
    <w:rsid w:val="00757652"/>
    <w:rsid w:val="007614E8"/>
    <w:rsid w:val="00763090"/>
    <w:rsid w:val="007654CF"/>
    <w:rsid w:val="00767DFC"/>
    <w:rsid w:val="0077133B"/>
    <w:rsid w:val="00772947"/>
    <w:rsid w:val="00773102"/>
    <w:rsid w:val="0077341D"/>
    <w:rsid w:val="0077455C"/>
    <w:rsid w:val="007748AC"/>
    <w:rsid w:val="00777948"/>
    <w:rsid w:val="00782B19"/>
    <w:rsid w:val="00783073"/>
    <w:rsid w:val="00783206"/>
    <w:rsid w:val="00783A1F"/>
    <w:rsid w:val="00783BC2"/>
    <w:rsid w:val="00784514"/>
    <w:rsid w:val="00785611"/>
    <w:rsid w:val="0078676C"/>
    <w:rsid w:val="0078682F"/>
    <w:rsid w:val="00787861"/>
    <w:rsid w:val="00792134"/>
    <w:rsid w:val="007927EC"/>
    <w:rsid w:val="007928EF"/>
    <w:rsid w:val="00792DFC"/>
    <w:rsid w:val="00793301"/>
    <w:rsid w:val="00793834"/>
    <w:rsid w:val="00793FB8"/>
    <w:rsid w:val="0079765E"/>
    <w:rsid w:val="00797798"/>
    <w:rsid w:val="007A156A"/>
    <w:rsid w:val="007A239F"/>
    <w:rsid w:val="007A28DF"/>
    <w:rsid w:val="007A5689"/>
    <w:rsid w:val="007A5958"/>
    <w:rsid w:val="007A5A2D"/>
    <w:rsid w:val="007A7177"/>
    <w:rsid w:val="007B0C1B"/>
    <w:rsid w:val="007B26FD"/>
    <w:rsid w:val="007B3A1B"/>
    <w:rsid w:val="007B4444"/>
    <w:rsid w:val="007B7388"/>
    <w:rsid w:val="007B78BD"/>
    <w:rsid w:val="007B7AF1"/>
    <w:rsid w:val="007C0209"/>
    <w:rsid w:val="007C0590"/>
    <w:rsid w:val="007C1138"/>
    <w:rsid w:val="007C1A90"/>
    <w:rsid w:val="007C26ED"/>
    <w:rsid w:val="007C2863"/>
    <w:rsid w:val="007C459D"/>
    <w:rsid w:val="007C4AF9"/>
    <w:rsid w:val="007C53A0"/>
    <w:rsid w:val="007C54F2"/>
    <w:rsid w:val="007C63F5"/>
    <w:rsid w:val="007C787D"/>
    <w:rsid w:val="007C7BC8"/>
    <w:rsid w:val="007D0455"/>
    <w:rsid w:val="007D1970"/>
    <w:rsid w:val="007D1DCF"/>
    <w:rsid w:val="007D22C9"/>
    <w:rsid w:val="007D2306"/>
    <w:rsid w:val="007D2A56"/>
    <w:rsid w:val="007D5FEC"/>
    <w:rsid w:val="007D62E9"/>
    <w:rsid w:val="007D7C51"/>
    <w:rsid w:val="007E082F"/>
    <w:rsid w:val="007E08E6"/>
    <w:rsid w:val="007E1263"/>
    <w:rsid w:val="007E1867"/>
    <w:rsid w:val="007E18B7"/>
    <w:rsid w:val="007E1B3F"/>
    <w:rsid w:val="007E273F"/>
    <w:rsid w:val="007E43CB"/>
    <w:rsid w:val="007E4784"/>
    <w:rsid w:val="007E572A"/>
    <w:rsid w:val="007E586C"/>
    <w:rsid w:val="007E5C40"/>
    <w:rsid w:val="007E6A74"/>
    <w:rsid w:val="007E6B24"/>
    <w:rsid w:val="007F08A8"/>
    <w:rsid w:val="007F0F60"/>
    <w:rsid w:val="007F123D"/>
    <w:rsid w:val="007F424A"/>
    <w:rsid w:val="007F52C7"/>
    <w:rsid w:val="007F77BD"/>
    <w:rsid w:val="007F7854"/>
    <w:rsid w:val="007F7D9B"/>
    <w:rsid w:val="008002D4"/>
    <w:rsid w:val="00800A0E"/>
    <w:rsid w:val="00801118"/>
    <w:rsid w:val="00802B5D"/>
    <w:rsid w:val="008034C2"/>
    <w:rsid w:val="00803ACD"/>
    <w:rsid w:val="00807192"/>
    <w:rsid w:val="00807343"/>
    <w:rsid w:val="008108A9"/>
    <w:rsid w:val="00812CC4"/>
    <w:rsid w:val="00812D50"/>
    <w:rsid w:val="008143B9"/>
    <w:rsid w:val="0081472E"/>
    <w:rsid w:val="0081490D"/>
    <w:rsid w:val="0081695A"/>
    <w:rsid w:val="00816EDB"/>
    <w:rsid w:val="00820085"/>
    <w:rsid w:val="00821118"/>
    <w:rsid w:val="00823DE0"/>
    <w:rsid w:val="00824808"/>
    <w:rsid w:val="00824ABB"/>
    <w:rsid w:val="0082507C"/>
    <w:rsid w:val="00825362"/>
    <w:rsid w:val="00825567"/>
    <w:rsid w:val="0082576B"/>
    <w:rsid w:val="00825896"/>
    <w:rsid w:val="008265E7"/>
    <w:rsid w:val="00826A11"/>
    <w:rsid w:val="00826F50"/>
    <w:rsid w:val="00831760"/>
    <w:rsid w:val="00832279"/>
    <w:rsid w:val="00835859"/>
    <w:rsid w:val="008361CE"/>
    <w:rsid w:val="00836E1F"/>
    <w:rsid w:val="00837BEC"/>
    <w:rsid w:val="00842BB1"/>
    <w:rsid w:val="00843F14"/>
    <w:rsid w:val="008478C4"/>
    <w:rsid w:val="00847ACB"/>
    <w:rsid w:val="00847EFF"/>
    <w:rsid w:val="0085036B"/>
    <w:rsid w:val="008513E1"/>
    <w:rsid w:val="00852894"/>
    <w:rsid w:val="0085408F"/>
    <w:rsid w:val="00854818"/>
    <w:rsid w:val="00854857"/>
    <w:rsid w:val="008557AF"/>
    <w:rsid w:val="008608DF"/>
    <w:rsid w:val="008610E9"/>
    <w:rsid w:val="00863865"/>
    <w:rsid w:val="00863B57"/>
    <w:rsid w:val="008647EE"/>
    <w:rsid w:val="00866195"/>
    <w:rsid w:val="008661A4"/>
    <w:rsid w:val="00870B6C"/>
    <w:rsid w:val="00871330"/>
    <w:rsid w:val="00872CBD"/>
    <w:rsid w:val="00872F12"/>
    <w:rsid w:val="00874810"/>
    <w:rsid w:val="00874DA5"/>
    <w:rsid w:val="0087740E"/>
    <w:rsid w:val="0088160D"/>
    <w:rsid w:val="00882505"/>
    <w:rsid w:val="00883D4C"/>
    <w:rsid w:val="00884FB2"/>
    <w:rsid w:val="00886332"/>
    <w:rsid w:val="00887117"/>
    <w:rsid w:val="00887B9E"/>
    <w:rsid w:val="00887CEE"/>
    <w:rsid w:val="00887E67"/>
    <w:rsid w:val="0089124A"/>
    <w:rsid w:val="0089343C"/>
    <w:rsid w:val="00893C94"/>
    <w:rsid w:val="008A217A"/>
    <w:rsid w:val="008A29C3"/>
    <w:rsid w:val="008A2BA3"/>
    <w:rsid w:val="008A2DE1"/>
    <w:rsid w:val="008A3C5C"/>
    <w:rsid w:val="008A50E9"/>
    <w:rsid w:val="008A5EE3"/>
    <w:rsid w:val="008A7B4A"/>
    <w:rsid w:val="008B0269"/>
    <w:rsid w:val="008B02F5"/>
    <w:rsid w:val="008B0309"/>
    <w:rsid w:val="008B0566"/>
    <w:rsid w:val="008B0713"/>
    <w:rsid w:val="008B3150"/>
    <w:rsid w:val="008B4143"/>
    <w:rsid w:val="008B4275"/>
    <w:rsid w:val="008B4A79"/>
    <w:rsid w:val="008B6ACC"/>
    <w:rsid w:val="008B766D"/>
    <w:rsid w:val="008C09F5"/>
    <w:rsid w:val="008C0FC6"/>
    <w:rsid w:val="008C1ED1"/>
    <w:rsid w:val="008C380C"/>
    <w:rsid w:val="008C3AFE"/>
    <w:rsid w:val="008C4591"/>
    <w:rsid w:val="008C6ABC"/>
    <w:rsid w:val="008C7A9A"/>
    <w:rsid w:val="008C7C40"/>
    <w:rsid w:val="008D1005"/>
    <w:rsid w:val="008D105B"/>
    <w:rsid w:val="008D1689"/>
    <w:rsid w:val="008D1DDA"/>
    <w:rsid w:val="008D239F"/>
    <w:rsid w:val="008D2A3E"/>
    <w:rsid w:val="008D3D78"/>
    <w:rsid w:val="008D3DAE"/>
    <w:rsid w:val="008D565E"/>
    <w:rsid w:val="008D67E7"/>
    <w:rsid w:val="008D7985"/>
    <w:rsid w:val="008E05B4"/>
    <w:rsid w:val="008E22C4"/>
    <w:rsid w:val="008E3C5F"/>
    <w:rsid w:val="008E400B"/>
    <w:rsid w:val="008E43E8"/>
    <w:rsid w:val="008E4F33"/>
    <w:rsid w:val="008E5DDA"/>
    <w:rsid w:val="008E744B"/>
    <w:rsid w:val="008F0DC2"/>
    <w:rsid w:val="008F2150"/>
    <w:rsid w:val="008F22CA"/>
    <w:rsid w:val="008F2577"/>
    <w:rsid w:val="008F2B83"/>
    <w:rsid w:val="008F5435"/>
    <w:rsid w:val="008F641D"/>
    <w:rsid w:val="008F77DD"/>
    <w:rsid w:val="008F7B7D"/>
    <w:rsid w:val="00901716"/>
    <w:rsid w:val="00902291"/>
    <w:rsid w:val="009022E1"/>
    <w:rsid w:val="009029C0"/>
    <w:rsid w:val="00902A94"/>
    <w:rsid w:val="00902AA5"/>
    <w:rsid w:val="009033FF"/>
    <w:rsid w:val="009039B2"/>
    <w:rsid w:val="009058FC"/>
    <w:rsid w:val="009109AE"/>
    <w:rsid w:val="0091191D"/>
    <w:rsid w:val="009170DC"/>
    <w:rsid w:val="00917BA3"/>
    <w:rsid w:val="00920DE0"/>
    <w:rsid w:val="009212A2"/>
    <w:rsid w:val="009241EB"/>
    <w:rsid w:val="00924670"/>
    <w:rsid w:val="00925B1B"/>
    <w:rsid w:val="00930FD5"/>
    <w:rsid w:val="00931095"/>
    <w:rsid w:val="0093153D"/>
    <w:rsid w:val="009319C1"/>
    <w:rsid w:val="00931D20"/>
    <w:rsid w:val="009329C6"/>
    <w:rsid w:val="00934CC1"/>
    <w:rsid w:val="009356A7"/>
    <w:rsid w:val="009356F9"/>
    <w:rsid w:val="00936D3C"/>
    <w:rsid w:val="009410F1"/>
    <w:rsid w:val="00941402"/>
    <w:rsid w:val="00941528"/>
    <w:rsid w:val="00941798"/>
    <w:rsid w:val="00943190"/>
    <w:rsid w:val="00943F34"/>
    <w:rsid w:val="00944570"/>
    <w:rsid w:val="0094482D"/>
    <w:rsid w:val="00944B5D"/>
    <w:rsid w:val="00945FA1"/>
    <w:rsid w:val="00947F80"/>
    <w:rsid w:val="00951089"/>
    <w:rsid w:val="00952C05"/>
    <w:rsid w:val="00952C34"/>
    <w:rsid w:val="009542CF"/>
    <w:rsid w:val="00954425"/>
    <w:rsid w:val="00954F9F"/>
    <w:rsid w:val="00955FEF"/>
    <w:rsid w:val="00956E51"/>
    <w:rsid w:val="00957192"/>
    <w:rsid w:val="0095774F"/>
    <w:rsid w:val="00957809"/>
    <w:rsid w:val="009601E1"/>
    <w:rsid w:val="0096062A"/>
    <w:rsid w:val="00960F5F"/>
    <w:rsid w:val="009622AE"/>
    <w:rsid w:val="00963729"/>
    <w:rsid w:val="00963FD5"/>
    <w:rsid w:val="009640F9"/>
    <w:rsid w:val="009645DD"/>
    <w:rsid w:val="0096667F"/>
    <w:rsid w:val="00967FE7"/>
    <w:rsid w:val="00970252"/>
    <w:rsid w:val="00970A6B"/>
    <w:rsid w:val="00970F05"/>
    <w:rsid w:val="00971BBC"/>
    <w:rsid w:val="0097245B"/>
    <w:rsid w:val="00973AE7"/>
    <w:rsid w:val="009750D4"/>
    <w:rsid w:val="009811A3"/>
    <w:rsid w:val="009819F7"/>
    <w:rsid w:val="00982173"/>
    <w:rsid w:val="00982694"/>
    <w:rsid w:val="00982FC0"/>
    <w:rsid w:val="0098395F"/>
    <w:rsid w:val="0098443F"/>
    <w:rsid w:val="009846B2"/>
    <w:rsid w:val="00985067"/>
    <w:rsid w:val="009860E3"/>
    <w:rsid w:val="0098701B"/>
    <w:rsid w:val="009879C8"/>
    <w:rsid w:val="00990614"/>
    <w:rsid w:val="00991918"/>
    <w:rsid w:val="009957F1"/>
    <w:rsid w:val="00997346"/>
    <w:rsid w:val="009976E5"/>
    <w:rsid w:val="009A059D"/>
    <w:rsid w:val="009A0D1B"/>
    <w:rsid w:val="009A191A"/>
    <w:rsid w:val="009A21F5"/>
    <w:rsid w:val="009A2D1F"/>
    <w:rsid w:val="009A50A4"/>
    <w:rsid w:val="009A547F"/>
    <w:rsid w:val="009A5570"/>
    <w:rsid w:val="009A6274"/>
    <w:rsid w:val="009A6C26"/>
    <w:rsid w:val="009A7ED4"/>
    <w:rsid w:val="009B02DA"/>
    <w:rsid w:val="009B2D43"/>
    <w:rsid w:val="009B3362"/>
    <w:rsid w:val="009B38E4"/>
    <w:rsid w:val="009B3942"/>
    <w:rsid w:val="009B3AFC"/>
    <w:rsid w:val="009B3E35"/>
    <w:rsid w:val="009B4518"/>
    <w:rsid w:val="009B683F"/>
    <w:rsid w:val="009B69E2"/>
    <w:rsid w:val="009B6D84"/>
    <w:rsid w:val="009B710D"/>
    <w:rsid w:val="009C0112"/>
    <w:rsid w:val="009C1681"/>
    <w:rsid w:val="009C2A29"/>
    <w:rsid w:val="009C313E"/>
    <w:rsid w:val="009C651F"/>
    <w:rsid w:val="009C6A12"/>
    <w:rsid w:val="009C6ADB"/>
    <w:rsid w:val="009C7620"/>
    <w:rsid w:val="009D0B45"/>
    <w:rsid w:val="009D2350"/>
    <w:rsid w:val="009D2D90"/>
    <w:rsid w:val="009D37A2"/>
    <w:rsid w:val="009D70BC"/>
    <w:rsid w:val="009D74E6"/>
    <w:rsid w:val="009D7D2D"/>
    <w:rsid w:val="009E1769"/>
    <w:rsid w:val="009E2918"/>
    <w:rsid w:val="009E2AAB"/>
    <w:rsid w:val="009E3E42"/>
    <w:rsid w:val="009E578A"/>
    <w:rsid w:val="009E5FD9"/>
    <w:rsid w:val="009E5FE1"/>
    <w:rsid w:val="009E6581"/>
    <w:rsid w:val="009E69F3"/>
    <w:rsid w:val="009E6DD6"/>
    <w:rsid w:val="009E6E95"/>
    <w:rsid w:val="009E7253"/>
    <w:rsid w:val="009E77A5"/>
    <w:rsid w:val="009F00EB"/>
    <w:rsid w:val="009F13A2"/>
    <w:rsid w:val="009F165E"/>
    <w:rsid w:val="009F1EB5"/>
    <w:rsid w:val="009F290E"/>
    <w:rsid w:val="009F2DAA"/>
    <w:rsid w:val="009F33A8"/>
    <w:rsid w:val="009F4760"/>
    <w:rsid w:val="009F4EC2"/>
    <w:rsid w:val="009F5C9E"/>
    <w:rsid w:val="009F5E46"/>
    <w:rsid w:val="009F68A6"/>
    <w:rsid w:val="009F7D6A"/>
    <w:rsid w:val="00A018B8"/>
    <w:rsid w:val="00A027FE"/>
    <w:rsid w:val="00A044B1"/>
    <w:rsid w:val="00A04A09"/>
    <w:rsid w:val="00A04E01"/>
    <w:rsid w:val="00A04FB3"/>
    <w:rsid w:val="00A074A8"/>
    <w:rsid w:val="00A1016E"/>
    <w:rsid w:val="00A10E37"/>
    <w:rsid w:val="00A10EA3"/>
    <w:rsid w:val="00A1118A"/>
    <w:rsid w:val="00A1409C"/>
    <w:rsid w:val="00A14BB7"/>
    <w:rsid w:val="00A15F00"/>
    <w:rsid w:val="00A173AE"/>
    <w:rsid w:val="00A20810"/>
    <w:rsid w:val="00A20881"/>
    <w:rsid w:val="00A22C8E"/>
    <w:rsid w:val="00A263C5"/>
    <w:rsid w:val="00A26A61"/>
    <w:rsid w:val="00A27211"/>
    <w:rsid w:val="00A27A6E"/>
    <w:rsid w:val="00A305D4"/>
    <w:rsid w:val="00A30703"/>
    <w:rsid w:val="00A31788"/>
    <w:rsid w:val="00A317C7"/>
    <w:rsid w:val="00A34A42"/>
    <w:rsid w:val="00A35661"/>
    <w:rsid w:val="00A362FE"/>
    <w:rsid w:val="00A37720"/>
    <w:rsid w:val="00A37ADD"/>
    <w:rsid w:val="00A4399B"/>
    <w:rsid w:val="00A44047"/>
    <w:rsid w:val="00A472C8"/>
    <w:rsid w:val="00A47DEC"/>
    <w:rsid w:val="00A50C1C"/>
    <w:rsid w:val="00A51045"/>
    <w:rsid w:val="00A51A75"/>
    <w:rsid w:val="00A51C90"/>
    <w:rsid w:val="00A52465"/>
    <w:rsid w:val="00A533FE"/>
    <w:rsid w:val="00A53AA8"/>
    <w:rsid w:val="00A550E3"/>
    <w:rsid w:val="00A551BB"/>
    <w:rsid w:val="00A55B3F"/>
    <w:rsid w:val="00A55F1E"/>
    <w:rsid w:val="00A56126"/>
    <w:rsid w:val="00A56D3B"/>
    <w:rsid w:val="00A57E7F"/>
    <w:rsid w:val="00A635CB"/>
    <w:rsid w:val="00A637DF"/>
    <w:rsid w:val="00A647A7"/>
    <w:rsid w:val="00A65409"/>
    <w:rsid w:val="00A65A67"/>
    <w:rsid w:val="00A65AA6"/>
    <w:rsid w:val="00A65C00"/>
    <w:rsid w:val="00A65E3C"/>
    <w:rsid w:val="00A65FAC"/>
    <w:rsid w:val="00A66794"/>
    <w:rsid w:val="00A71216"/>
    <w:rsid w:val="00A74579"/>
    <w:rsid w:val="00A74FC8"/>
    <w:rsid w:val="00A75093"/>
    <w:rsid w:val="00A75758"/>
    <w:rsid w:val="00A76006"/>
    <w:rsid w:val="00A76A1C"/>
    <w:rsid w:val="00A77164"/>
    <w:rsid w:val="00A77B89"/>
    <w:rsid w:val="00A77F6E"/>
    <w:rsid w:val="00A80110"/>
    <w:rsid w:val="00A80B70"/>
    <w:rsid w:val="00A81122"/>
    <w:rsid w:val="00A8136A"/>
    <w:rsid w:val="00A81C36"/>
    <w:rsid w:val="00A81F68"/>
    <w:rsid w:val="00A8228A"/>
    <w:rsid w:val="00A82C34"/>
    <w:rsid w:val="00A836D7"/>
    <w:rsid w:val="00A84B31"/>
    <w:rsid w:val="00A86916"/>
    <w:rsid w:val="00A87A80"/>
    <w:rsid w:val="00A9034E"/>
    <w:rsid w:val="00A906F2"/>
    <w:rsid w:val="00A910AC"/>
    <w:rsid w:val="00A924A1"/>
    <w:rsid w:val="00A9274E"/>
    <w:rsid w:val="00A93705"/>
    <w:rsid w:val="00A93AC8"/>
    <w:rsid w:val="00A9403C"/>
    <w:rsid w:val="00A9403D"/>
    <w:rsid w:val="00A95049"/>
    <w:rsid w:val="00A951BE"/>
    <w:rsid w:val="00A96862"/>
    <w:rsid w:val="00A97E28"/>
    <w:rsid w:val="00AA2FAC"/>
    <w:rsid w:val="00AA3A14"/>
    <w:rsid w:val="00AA3D2C"/>
    <w:rsid w:val="00AA78D1"/>
    <w:rsid w:val="00AB0222"/>
    <w:rsid w:val="00AB0529"/>
    <w:rsid w:val="00AB3681"/>
    <w:rsid w:val="00AB4BCF"/>
    <w:rsid w:val="00AB4FC7"/>
    <w:rsid w:val="00AB6B6C"/>
    <w:rsid w:val="00AB72E5"/>
    <w:rsid w:val="00AB7EFE"/>
    <w:rsid w:val="00AC05F9"/>
    <w:rsid w:val="00AC1AF8"/>
    <w:rsid w:val="00AC4C59"/>
    <w:rsid w:val="00AC5026"/>
    <w:rsid w:val="00AC5A55"/>
    <w:rsid w:val="00AC6614"/>
    <w:rsid w:val="00AC677C"/>
    <w:rsid w:val="00AC7115"/>
    <w:rsid w:val="00AD0971"/>
    <w:rsid w:val="00AD1942"/>
    <w:rsid w:val="00AD29A3"/>
    <w:rsid w:val="00AD38E1"/>
    <w:rsid w:val="00AD39CC"/>
    <w:rsid w:val="00AD5565"/>
    <w:rsid w:val="00AD7FA7"/>
    <w:rsid w:val="00AE0294"/>
    <w:rsid w:val="00AE1522"/>
    <w:rsid w:val="00AE1CD8"/>
    <w:rsid w:val="00AE1F53"/>
    <w:rsid w:val="00AE230E"/>
    <w:rsid w:val="00AE2D12"/>
    <w:rsid w:val="00AE2D1D"/>
    <w:rsid w:val="00AE4869"/>
    <w:rsid w:val="00AE4C3C"/>
    <w:rsid w:val="00AE6C57"/>
    <w:rsid w:val="00AE70B1"/>
    <w:rsid w:val="00AE74CE"/>
    <w:rsid w:val="00AE7701"/>
    <w:rsid w:val="00AF1889"/>
    <w:rsid w:val="00AF1C38"/>
    <w:rsid w:val="00AF3082"/>
    <w:rsid w:val="00AF4B38"/>
    <w:rsid w:val="00AF5A88"/>
    <w:rsid w:val="00AF5AC8"/>
    <w:rsid w:val="00AF6C1E"/>
    <w:rsid w:val="00AF7A24"/>
    <w:rsid w:val="00B01B46"/>
    <w:rsid w:val="00B02507"/>
    <w:rsid w:val="00B05949"/>
    <w:rsid w:val="00B071DF"/>
    <w:rsid w:val="00B0771E"/>
    <w:rsid w:val="00B07993"/>
    <w:rsid w:val="00B11229"/>
    <w:rsid w:val="00B11356"/>
    <w:rsid w:val="00B11D92"/>
    <w:rsid w:val="00B137D2"/>
    <w:rsid w:val="00B13E33"/>
    <w:rsid w:val="00B13E68"/>
    <w:rsid w:val="00B14F32"/>
    <w:rsid w:val="00B216C5"/>
    <w:rsid w:val="00B21C58"/>
    <w:rsid w:val="00B230BD"/>
    <w:rsid w:val="00B23E1A"/>
    <w:rsid w:val="00B251D1"/>
    <w:rsid w:val="00B26990"/>
    <w:rsid w:val="00B3014B"/>
    <w:rsid w:val="00B32F7F"/>
    <w:rsid w:val="00B35CEC"/>
    <w:rsid w:val="00B363F4"/>
    <w:rsid w:val="00B36815"/>
    <w:rsid w:val="00B37E18"/>
    <w:rsid w:val="00B40941"/>
    <w:rsid w:val="00B41B31"/>
    <w:rsid w:val="00B43114"/>
    <w:rsid w:val="00B443F6"/>
    <w:rsid w:val="00B44F31"/>
    <w:rsid w:val="00B4616B"/>
    <w:rsid w:val="00B468CF"/>
    <w:rsid w:val="00B4724B"/>
    <w:rsid w:val="00B52917"/>
    <w:rsid w:val="00B533B7"/>
    <w:rsid w:val="00B53A35"/>
    <w:rsid w:val="00B552A4"/>
    <w:rsid w:val="00B56EA0"/>
    <w:rsid w:val="00B57571"/>
    <w:rsid w:val="00B57FFC"/>
    <w:rsid w:val="00B60E00"/>
    <w:rsid w:val="00B6151B"/>
    <w:rsid w:val="00B6225F"/>
    <w:rsid w:val="00B62766"/>
    <w:rsid w:val="00B628A6"/>
    <w:rsid w:val="00B66DB9"/>
    <w:rsid w:val="00B66EED"/>
    <w:rsid w:val="00B67967"/>
    <w:rsid w:val="00B67F3A"/>
    <w:rsid w:val="00B70244"/>
    <w:rsid w:val="00B71227"/>
    <w:rsid w:val="00B72794"/>
    <w:rsid w:val="00B73242"/>
    <w:rsid w:val="00B73A6A"/>
    <w:rsid w:val="00B74CD5"/>
    <w:rsid w:val="00B753D8"/>
    <w:rsid w:val="00B753F7"/>
    <w:rsid w:val="00B75505"/>
    <w:rsid w:val="00B75A59"/>
    <w:rsid w:val="00B75C36"/>
    <w:rsid w:val="00B77130"/>
    <w:rsid w:val="00B77D7F"/>
    <w:rsid w:val="00B803A6"/>
    <w:rsid w:val="00B81B6C"/>
    <w:rsid w:val="00B83A76"/>
    <w:rsid w:val="00B8408E"/>
    <w:rsid w:val="00B8419C"/>
    <w:rsid w:val="00B85195"/>
    <w:rsid w:val="00B92A0C"/>
    <w:rsid w:val="00B93EB8"/>
    <w:rsid w:val="00B94D39"/>
    <w:rsid w:val="00B94EFB"/>
    <w:rsid w:val="00B95494"/>
    <w:rsid w:val="00B96058"/>
    <w:rsid w:val="00BA0D28"/>
    <w:rsid w:val="00BA1788"/>
    <w:rsid w:val="00BA1BE3"/>
    <w:rsid w:val="00BA241B"/>
    <w:rsid w:val="00BA2480"/>
    <w:rsid w:val="00BA4037"/>
    <w:rsid w:val="00BA4BF1"/>
    <w:rsid w:val="00BA5525"/>
    <w:rsid w:val="00BA66A5"/>
    <w:rsid w:val="00BA73DE"/>
    <w:rsid w:val="00BA7813"/>
    <w:rsid w:val="00BB00C0"/>
    <w:rsid w:val="00BB052D"/>
    <w:rsid w:val="00BB0E0B"/>
    <w:rsid w:val="00BB1116"/>
    <w:rsid w:val="00BB1566"/>
    <w:rsid w:val="00BB3097"/>
    <w:rsid w:val="00BB34BE"/>
    <w:rsid w:val="00BB35EA"/>
    <w:rsid w:val="00BB5660"/>
    <w:rsid w:val="00BB6BAE"/>
    <w:rsid w:val="00BB6F24"/>
    <w:rsid w:val="00BB7807"/>
    <w:rsid w:val="00BB7DAD"/>
    <w:rsid w:val="00BC093D"/>
    <w:rsid w:val="00BC0B69"/>
    <w:rsid w:val="00BC1880"/>
    <w:rsid w:val="00BC19F9"/>
    <w:rsid w:val="00BC1B2D"/>
    <w:rsid w:val="00BC1ECD"/>
    <w:rsid w:val="00BC23D6"/>
    <w:rsid w:val="00BC286C"/>
    <w:rsid w:val="00BC3988"/>
    <w:rsid w:val="00BC49D3"/>
    <w:rsid w:val="00BC517F"/>
    <w:rsid w:val="00BC5313"/>
    <w:rsid w:val="00BC5E1B"/>
    <w:rsid w:val="00BC6E32"/>
    <w:rsid w:val="00BC73F2"/>
    <w:rsid w:val="00BC790C"/>
    <w:rsid w:val="00BD0BDD"/>
    <w:rsid w:val="00BD2230"/>
    <w:rsid w:val="00BD32E4"/>
    <w:rsid w:val="00BD361E"/>
    <w:rsid w:val="00BD3A04"/>
    <w:rsid w:val="00BD4E2A"/>
    <w:rsid w:val="00BD7510"/>
    <w:rsid w:val="00BE02FD"/>
    <w:rsid w:val="00BE219E"/>
    <w:rsid w:val="00BE233C"/>
    <w:rsid w:val="00BE27B6"/>
    <w:rsid w:val="00BE2821"/>
    <w:rsid w:val="00BE37C7"/>
    <w:rsid w:val="00BE3FD6"/>
    <w:rsid w:val="00BE53D2"/>
    <w:rsid w:val="00BE6FCF"/>
    <w:rsid w:val="00BF001F"/>
    <w:rsid w:val="00BF0E8F"/>
    <w:rsid w:val="00BF2E08"/>
    <w:rsid w:val="00BF41EB"/>
    <w:rsid w:val="00BF44C5"/>
    <w:rsid w:val="00BF4957"/>
    <w:rsid w:val="00BF5607"/>
    <w:rsid w:val="00BF64A5"/>
    <w:rsid w:val="00BF739F"/>
    <w:rsid w:val="00C018B6"/>
    <w:rsid w:val="00C029B4"/>
    <w:rsid w:val="00C039EE"/>
    <w:rsid w:val="00C042CB"/>
    <w:rsid w:val="00C04A10"/>
    <w:rsid w:val="00C056F5"/>
    <w:rsid w:val="00C062FF"/>
    <w:rsid w:val="00C06DE9"/>
    <w:rsid w:val="00C10456"/>
    <w:rsid w:val="00C104F0"/>
    <w:rsid w:val="00C1133E"/>
    <w:rsid w:val="00C11FA2"/>
    <w:rsid w:val="00C12210"/>
    <w:rsid w:val="00C14FEE"/>
    <w:rsid w:val="00C151B8"/>
    <w:rsid w:val="00C15517"/>
    <w:rsid w:val="00C17C74"/>
    <w:rsid w:val="00C23798"/>
    <w:rsid w:val="00C24038"/>
    <w:rsid w:val="00C26B15"/>
    <w:rsid w:val="00C30EF7"/>
    <w:rsid w:val="00C321E8"/>
    <w:rsid w:val="00C36AA3"/>
    <w:rsid w:val="00C37243"/>
    <w:rsid w:val="00C43F2E"/>
    <w:rsid w:val="00C44343"/>
    <w:rsid w:val="00C45903"/>
    <w:rsid w:val="00C4644F"/>
    <w:rsid w:val="00C46865"/>
    <w:rsid w:val="00C46F03"/>
    <w:rsid w:val="00C46F9F"/>
    <w:rsid w:val="00C52483"/>
    <w:rsid w:val="00C53AAA"/>
    <w:rsid w:val="00C558D8"/>
    <w:rsid w:val="00C60100"/>
    <w:rsid w:val="00C6058D"/>
    <w:rsid w:val="00C61571"/>
    <w:rsid w:val="00C624A2"/>
    <w:rsid w:val="00C62CEC"/>
    <w:rsid w:val="00C6309E"/>
    <w:rsid w:val="00C6427B"/>
    <w:rsid w:val="00C70E20"/>
    <w:rsid w:val="00C716B2"/>
    <w:rsid w:val="00C7178D"/>
    <w:rsid w:val="00C73716"/>
    <w:rsid w:val="00C741BE"/>
    <w:rsid w:val="00C75FEF"/>
    <w:rsid w:val="00C77422"/>
    <w:rsid w:val="00C77BB6"/>
    <w:rsid w:val="00C80070"/>
    <w:rsid w:val="00C816B8"/>
    <w:rsid w:val="00C823A2"/>
    <w:rsid w:val="00C8291C"/>
    <w:rsid w:val="00C8300D"/>
    <w:rsid w:val="00C831A1"/>
    <w:rsid w:val="00C832B5"/>
    <w:rsid w:val="00C83644"/>
    <w:rsid w:val="00C84732"/>
    <w:rsid w:val="00C86C1C"/>
    <w:rsid w:val="00C86FED"/>
    <w:rsid w:val="00C871FB"/>
    <w:rsid w:val="00C872B0"/>
    <w:rsid w:val="00C9298E"/>
    <w:rsid w:val="00C92F9F"/>
    <w:rsid w:val="00C93113"/>
    <w:rsid w:val="00C938FD"/>
    <w:rsid w:val="00C93AC0"/>
    <w:rsid w:val="00C949F2"/>
    <w:rsid w:val="00CA0FC0"/>
    <w:rsid w:val="00CA1C25"/>
    <w:rsid w:val="00CA1CBE"/>
    <w:rsid w:val="00CA3D9E"/>
    <w:rsid w:val="00CA4865"/>
    <w:rsid w:val="00CA54BD"/>
    <w:rsid w:val="00CA5730"/>
    <w:rsid w:val="00CA5796"/>
    <w:rsid w:val="00CA59AC"/>
    <w:rsid w:val="00CA6310"/>
    <w:rsid w:val="00CA6D75"/>
    <w:rsid w:val="00CB1FA5"/>
    <w:rsid w:val="00CB5861"/>
    <w:rsid w:val="00CB633C"/>
    <w:rsid w:val="00CB66F4"/>
    <w:rsid w:val="00CB6ADE"/>
    <w:rsid w:val="00CB6D75"/>
    <w:rsid w:val="00CB6DB2"/>
    <w:rsid w:val="00CB7BAF"/>
    <w:rsid w:val="00CC27CF"/>
    <w:rsid w:val="00CC280B"/>
    <w:rsid w:val="00CC3A13"/>
    <w:rsid w:val="00CC4D72"/>
    <w:rsid w:val="00CC5801"/>
    <w:rsid w:val="00CC6117"/>
    <w:rsid w:val="00CC6E1B"/>
    <w:rsid w:val="00CD240C"/>
    <w:rsid w:val="00CD3A91"/>
    <w:rsid w:val="00CD3BC2"/>
    <w:rsid w:val="00CD544A"/>
    <w:rsid w:val="00CD54FD"/>
    <w:rsid w:val="00CE17DE"/>
    <w:rsid w:val="00CE4544"/>
    <w:rsid w:val="00CE5B0A"/>
    <w:rsid w:val="00CE66AF"/>
    <w:rsid w:val="00CE6F1F"/>
    <w:rsid w:val="00CE771D"/>
    <w:rsid w:val="00CF0047"/>
    <w:rsid w:val="00CF0240"/>
    <w:rsid w:val="00CF2597"/>
    <w:rsid w:val="00CF4DCA"/>
    <w:rsid w:val="00CF57B3"/>
    <w:rsid w:val="00CF6905"/>
    <w:rsid w:val="00CF6A38"/>
    <w:rsid w:val="00D02795"/>
    <w:rsid w:val="00D0282A"/>
    <w:rsid w:val="00D0426F"/>
    <w:rsid w:val="00D04B22"/>
    <w:rsid w:val="00D06574"/>
    <w:rsid w:val="00D1149D"/>
    <w:rsid w:val="00D11AF1"/>
    <w:rsid w:val="00D11C6C"/>
    <w:rsid w:val="00D1290B"/>
    <w:rsid w:val="00D137F9"/>
    <w:rsid w:val="00D148F5"/>
    <w:rsid w:val="00D14AC1"/>
    <w:rsid w:val="00D15C97"/>
    <w:rsid w:val="00D17205"/>
    <w:rsid w:val="00D20B65"/>
    <w:rsid w:val="00D20D6C"/>
    <w:rsid w:val="00D21616"/>
    <w:rsid w:val="00D21BE0"/>
    <w:rsid w:val="00D22D1D"/>
    <w:rsid w:val="00D23173"/>
    <w:rsid w:val="00D231FE"/>
    <w:rsid w:val="00D23B7E"/>
    <w:rsid w:val="00D24FF4"/>
    <w:rsid w:val="00D255C3"/>
    <w:rsid w:val="00D25758"/>
    <w:rsid w:val="00D27846"/>
    <w:rsid w:val="00D3019C"/>
    <w:rsid w:val="00D30673"/>
    <w:rsid w:val="00D32BAB"/>
    <w:rsid w:val="00D3326B"/>
    <w:rsid w:val="00D33CAD"/>
    <w:rsid w:val="00D3440E"/>
    <w:rsid w:val="00D3568F"/>
    <w:rsid w:val="00D37D7A"/>
    <w:rsid w:val="00D43C02"/>
    <w:rsid w:val="00D442EE"/>
    <w:rsid w:val="00D506DD"/>
    <w:rsid w:val="00D50E5A"/>
    <w:rsid w:val="00D51507"/>
    <w:rsid w:val="00D51776"/>
    <w:rsid w:val="00D51DD7"/>
    <w:rsid w:val="00D51FE4"/>
    <w:rsid w:val="00D52F99"/>
    <w:rsid w:val="00D54792"/>
    <w:rsid w:val="00D56239"/>
    <w:rsid w:val="00D568F3"/>
    <w:rsid w:val="00D579C5"/>
    <w:rsid w:val="00D6072D"/>
    <w:rsid w:val="00D60D28"/>
    <w:rsid w:val="00D60D9A"/>
    <w:rsid w:val="00D618D7"/>
    <w:rsid w:val="00D6425B"/>
    <w:rsid w:val="00D6446E"/>
    <w:rsid w:val="00D648C2"/>
    <w:rsid w:val="00D649C0"/>
    <w:rsid w:val="00D65E57"/>
    <w:rsid w:val="00D6656D"/>
    <w:rsid w:val="00D66CBA"/>
    <w:rsid w:val="00D67E82"/>
    <w:rsid w:val="00D67EE3"/>
    <w:rsid w:val="00D7108D"/>
    <w:rsid w:val="00D71AB2"/>
    <w:rsid w:val="00D737AA"/>
    <w:rsid w:val="00D73C24"/>
    <w:rsid w:val="00D73C46"/>
    <w:rsid w:val="00D73FA3"/>
    <w:rsid w:val="00D753C4"/>
    <w:rsid w:val="00D7586D"/>
    <w:rsid w:val="00D80B8E"/>
    <w:rsid w:val="00D81DC9"/>
    <w:rsid w:val="00D82B8C"/>
    <w:rsid w:val="00D82D15"/>
    <w:rsid w:val="00D83562"/>
    <w:rsid w:val="00D837D3"/>
    <w:rsid w:val="00D83A0A"/>
    <w:rsid w:val="00D8513E"/>
    <w:rsid w:val="00D853E0"/>
    <w:rsid w:val="00D8577C"/>
    <w:rsid w:val="00D872D3"/>
    <w:rsid w:val="00D87899"/>
    <w:rsid w:val="00D87AAB"/>
    <w:rsid w:val="00D90BB4"/>
    <w:rsid w:val="00D91387"/>
    <w:rsid w:val="00D91528"/>
    <w:rsid w:val="00D9447B"/>
    <w:rsid w:val="00D9484E"/>
    <w:rsid w:val="00D97C17"/>
    <w:rsid w:val="00DA0D2A"/>
    <w:rsid w:val="00DA0EF4"/>
    <w:rsid w:val="00DA1976"/>
    <w:rsid w:val="00DA1EBD"/>
    <w:rsid w:val="00DA1F7B"/>
    <w:rsid w:val="00DA4DCE"/>
    <w:rsid w:val="00DA4F1D"/>
    <w:rsid w:val="00DA4F54"/>
    <w:rsid w:val="00DA52C0"/>
    <w:rsid w:val="00DA5828"/>
    <w:rsid w:val="00DA5A48"/>
    <w:rsid w:val="00DA626C"/>
    <w:rsid w:val="00DA7852"/>
    <w:rsid w:val="00DB099F"/>
    <w:rsid w:val="00DB1767"/>
    <w:rsid w:val="00DB211B"/>
    <w:rsid w:val="00DB268C"/>
    <w:rsid w:val="00DB2989"/>
    <w:rsid w:val="00DB43E2"/>
    <w:rsid w:val="00DB4B7A"/>
    <w:rsid w:val="00DB51E3"/>
    <w:rsid w:val="00DB6585"/>
    <w:rsid w:val="00DB6B02"/>
    <w:rsid w:val="00DB7D60"/>
    <w:rsid w:val="00DC149B"/>
    <w:rsid w:val="00DC25C1"/>
    <w:rsid w:val="00DC3513"/>
    <w:rsid w:val="00DC3DF5"/>
    <w:rsid w:val="00DC43E2"/>
    <w:rsid w:val="00DC46FE"/>
    <w:rsid w:val="00DC728D"/>
    <w:rsid w:val="00DC773D"/>
    <w:rsid w:val="00DD0C32"/>
    <w:rsid w:val="00DD1E3E"/>
    <w:rsid w:val="00DD2AC6"/>
    <w:rsid w:val="00DD4B82"/>
    <w:rsid w:val="00DD521A"/>
    <w:rsid w:val="00DD558D"/>
    <w:rsid w:val="00DD7383"/>
    <w:rsid w:val="00DE0737"/>
    <w:rsid w:val="00DE2EF3"/>
    <w:rsid w:val="00DE3620"/>
    <w:rsid w:val="00DE3BCF"/>
    <w:rsid w:val="00DE5D64"/>
    <w:rsid w:val="00DE5E88"/>
    <w:rsid w:val="00DE68D2"/>
    <w:rsid w:val="00DE6A90"/>
    <w:rsid w:val="00DE6C9A"/>
    <w:rsid w:val="00DE7E7B"/>
    <w:rsid w:val="00DF07AE"/>
    <w:rsid w:val="00DF1476"/>
    <w:rsid w:val="00DF1489"/>
    <w:rsid w:val="00DF17CB"/>
    <w:rsid w:val="00DF31F0"/>
    <w:rsid w:val="00DF46BD"/>
    <w:rsid w:val="00DF5336"/>
    <w:rsid w:val="00DF577A"/>
    <w:rsid w:val="00DF5793"/>
    <w:rsid w:val="00DF5C1F"/>
    <w:rsid w:val="00E0235E"/>
    <w:rsid w:val="00E0318F"/>
    <w:rsid w:val="00E1086A"/>
    <w:rsid w:val="00E15374"/>
    <w:rsid w:val="00E158EE"/>
    <w:rsid w:val="00E16CA2"/>
    <w:rsid w:val="00E17B58"/>
    <w:rsid w:val="00E20A8D"/>
    <w:rsid w:val="00E23A1C"/>
    <w:rsid w:val="00E23FE8"/>
    <w:rsid w:val="00E24047"/>
    <w:rsid w:val="00E2405A"/>
    <w:rsid w:val="00E246EE"/>
    <w:rsid w:val="00E24703"/>
    <w:rsid w:val="00E25E8C"/>
    <w:rsid w:val="00E27A89"/>
    <w:rsid w:val="00E3041A"/>
    <w:rsid w:val="00E320D4"/>
    <w:rsid w:val="00E326E2"/>
    <w:rsid w:val="00E32FDC"/>
    <w:rsid w:val="00E33325"/>
    <w:rsid w:val="00E33AA8"/>
    <w:rsid w:val="00E34F54"/>
    <w:rsid w:val="00E41867"/>
    <w:rsid w:val="00E41991"/>
    <w:rsid w:val="00E4224D"/>
    <w:rsid w:val="00E42525"/>
    <w:rsid w:val="00E433DB"/>
    <w:rsid w:val="00E44503"/>
    <w:rsid w:val="00E44F6F"/>
    <w:rsid w:val="00E45607"/>
    <w:rsid w:val="00E5000B"/>
    <w:rsid w:val="00E50239"/>
    <w:rsid w:val="00E50723"/>
    <w:rsid w:val="00E51420"/>
    <w:rsid w:val="00E51495"/>
    <w:rsid w:val="00E5225B"/>
    <w:rsid w:val="00E54394"/>
    <w:rsid w:val="00E54602"/>
    <w:rsid w:val="00E54B29"/>
    <w:rsid w:val="00E57491"/>
    <w:rsid w:val="00E6099B"/>
    <w:rsid w:val="00E61257"/>
    <w:rsid w:val="00E62377"/>
    <w:rsid w:val="00E62D2C"/>
    <w:rsid w:val="00E63EF3"/>
    <w:rsid w:val="00E64520"/>
    <w:rsid w:val="00E714F2"/>
    <w:rsid w:val="00E71BDF"/>
    <w:rsid w:val="00E71ED1"/>
    <w:rsid w:val="00E726E3"/>
    <w:rsid w:val="00E733D7"/>
    <w:rsid w:val="00E73507"/>
    <w:rsid w:val="00E73796"/>
    <w:rsid w:val="00E75B03"/>
    <w:rsid w:val="00E765BE"/>
    <w:rsid w:val="00E8060B"/>
    <w:rsid w:val="00E80ADB"/>
    <w:rsid w:val="00E81E92"/>
    <w:rsid w:val="00E82A22"/>
    <w:rsid w:val="00E842C2"/>
    <w:rsid w:val="00E8479B"/>
    <w:rsid w:val="00E84CC1"/>
    <w:rsid w:val="00E85033"/>
    <w:rsid w:val="00E85A89"/>
    <w:rsid w:val="00E85D0B"/>
    <w:rsid w:val="00E862FE"/>
    <w:rsid w:val="00E863D7"/>
    <w:rsid w:val="00E86B64"/>
    <w:rsid w:val="00E878E7"/>
    <w:rsid w:val="00E90561"/>
    <w:rsid w:val="00E90D1B"/>
    <w:rsid w:val="00E91501"/>
    <w:rsid w:val="00E91661"/>
    <w:rsid w:val="00E92103"/>
    <w:rsid w:val="00E922FE"/>
    <w:rsid w:val="00E931DD"/>
    <w:rsid w:val="00E931FD"/>
    <w:rsid w:val="00E934EE"/>
    <w:rsid w:val="00E93C95"/>
    <w:rsid w:val="00E94AB6"/>
    <w:rsid w:val="00E95A2D"/>
    <w:rsid w:val="00E97405"/>
    <w:rsid w:val="00EA0364"/>
    <w:rsid w:val="00EA1284"/>
    <w:rsid w:val="00EA1619"/>
    <w:rsid w:val="00EA2723"/>
    <w:rsid w:val="00EA2952"/>
    <w:rsid w:val="00EA2A38"/>
    <w:rsid w:val="00EA3AFE"/>
    <w:rsid w:val="00EA3CFB"/>
    <w:rsid w:val="00EA750A"/>
    <w:rsid w:val="00EA7CEB"/>
    <w:rsid w:val="00EB1EAA"/>
    <w:rsid w:val="00EB3A4B"/>
    <w:rsid w:val="00EB5D50"/>
    <w:rsid w:val="00EC0A80"/>
    <w:rsid w:val="00EC12DB"/>
    <w:rsid w:val="00EC26C7"/>
    <w:rsid w:val="00EC271A"/>
    <w:rsid w:val="00EC36C9"/>
    <w:rsid w:val="00EC3C38"/>
    <w:rsid w:val="00EC6507"/>
    <w:rsid w:val="00EC6EE1"/>
    <w:rsid w:val="00EC6F4C"/>
    <w:rsid w:val="00ED093E"/>
    <w:rsid w:val="00ED12A2"/>
    <w:rsid w:val="00ED2606"/>
    <w:rsid w:val="00ED3121"/>
    <w:rsid w:val="00ED4235"/>
    <w:rsid w:val="00ED5C7C"/>
    <w:rsid w:val="00ED656C"/>
    <w:rsid w:val="00ED7468"/>
    <w:rsid w:val="00ED76BF"/>
    <w:rsid w:val="00EE1F7F"/>
    <w:rsid w:val="00EE266F"/>
    <w:rsid w:val="00EE312A"/>
    <w:rsid w:val="00EE368A"/>
    <w:rsid w:val="00EE4A1C"/>
    <w:rsid w:val="00EE5046"/>
    <w:rsid w:val="00EE5DE4"/>
    <w:rsid w:val="00EE60BB"/>
    <w:rsid w:val="00EE7F1F"/>
    <w:rsid w:val="00EF124D"/>
    <w:rsid w:val="00EF1546"/>
    <w:rsid w:val="00EF183D"/>
    <w:rsid w:val="00EF1BF0"/>
    <w:rsid w:val="00EF22BF"/>
    <w:rsid w:val="00EF2839"/>
    <w:rsid w:val="00EF2F20"/>
    <w:rsid w:val="00EF3043"/>
    <w:rsid w:val="00EF35DB"/>
    <w:rsid w:val="00EF3AA0"/>
    <w:rsid w:val="00EF3B65"/>
    <w:rsid w:val="00EF483A"/>
    <w:rsid w:val="00EF5B1A"/>
    <w:rsid w:val="00EF6D4A"/>
    <w:rsid w:val="00EF743A"/>
    <w:rsid w:val="00EF796F"/>
    <w:rsid w:val="00F00042"/>
    <w:rsid w:val="00F022B4"/>
    <w:rsid w:val="00F02960"/>
    <w:rsid w:val="00F03287"/>
    <w:rsid w:val="00F04433"/>
    <w:rsid w:val="00F0472E"/>
    <w:rsid w:val="00F05444"/>
    <w:rsid w:val="00F056A3"/>
    <w:rsid w:val="00F05DCE"/>
    <w:rsid w:val="00F066DE"/>
    <w:rsid w:val="00F107AD"/>
    <w:rsid w:val="00F1193A"/>
    <w:rsid w:val="00F12130"/>
    <w:rsid w:val="00F13ACC"/>
    <w:rsid w:val="00F13B96"/>
    <w:rsid w:val="00F13E97"/>
    <w:rsid w:val="00F149D6"/>
    <w:rsid w:val="00F1651C"/>
    <w:rsid w:val="00F165D3"/>
    <w:rsid w:val="00F20A6B"/>
    <w:rsid w:val="00F229A0"/>
    <w:rsid w:val="00F23DBF"/>
    <w:rsid w:val="00F24206"/>
    <w:rsid w:val="00F24759"/>
    <w:rsid w:val="00F26844"/>
    <w:rsid w:val="00F30529"/>
    <w:rsid w:val="00F31782"/>
    <w:rsid w:val="00F31D55"/>
    <w:rsid w:val="00F31FF1"/>
    <w:rsid w:val="00F34882"/>
    <w:rsid w:val="00F34B08"/>
    <w:rsid w:val="00F34BA4"/>
    <w:rsid w:val="00F3620C"/>
    <w:rsid w:val="00F37EF1"/>
    <w:rsid w:val="00F40DC4"/>
    <w:rsid w:val="00F40E1E"/>
    <w:rsid w:val="00F4177F"/>
    <w:rsid w:val="00F440A6"/>
    <w:rsid w:val="00F45048"/>
    <w:rsid w:val="00F461F7"/>
    <w:rsid w:val="00F50172"/>
    <w:rsid w:val="00F50535"/>
    <w:rsid w:val="00F51CE1"/>
    <w:rsid w:val="00F51D1A"/>
    <w:rsid w:val="00F5290F"/>
    <w:rsid w:val="00F53052"/>
    <w:rsid w:val="00F54225"/>
    <w:rsid w:val="00F54C3C"/>
    <w:rsid w:val="00F561CD"/>
    <w:rsid w:val="00F57217"/>
    <w:rsid w:val="00F57B4B"/>
    <w:rsid w:val="00F6265B"/>
    <w:rsid w:val="00F6281C"/>
    <w:rsid w:val="00F62AF4"/>
    <w:rsid w:val="00F62BB3"/>
    <w:rsid w:val="00F63079"/>
    <w:rsid w:val="00F63905"/>
    <w:rsid w:val="00F65BB3"/>
    <w:rsid w:val="00F65DDE"/>
    <w:rsid w:val="00F67734"/>
    <w:rsid w:val="00F70654"/>
    <w:rsid w:val="00F71430"/>
    <w:rsid w:val="00F726BA"/>
    <w:rsid w:val="00F7274E"/>
    <w:rsid w:val="00F732B5"/>
    <w:rsid w:val="00F75006"/>
    <w:rsid w:val="00F756A6"/>
    <w:rsid w:val="00F75B48"/>
    <w:rsid w:val="00F75FE5"/>
    <w:rsid w:val="00F7749B"/>
    <w:rsid w:val="00F802CD"/>
    <w:rsid w:val="00F81E37"/>
    <w:rsid w:val="00F84896"/>
    <w:rsid w:val="00F855B4"/>
    <w:rsid w:val="00F855DE"/>
    <w:rsid w:val="00F8569A"/>
    <w:rsid w:val="00F86D97"/>
    <w:rsid w:val="00F8732D"/>
    <w:rsid w:val="00F87E51"/>
    <w:rsid w:val="00F908B5"/>
    <w:rsid w:val="00F90B8A"/>
    <w:rsid w:val="00F90FD9"/>
    <w:rsid w:val="00F93A33"/>
    <w:rsid w:val="00F93A3B"/>
    <w:rsid w:val="00F95921"/>
    <w:rsid w:val="00F95FDC"/>
    <w:rsid w:val="00F96B2E"/>
    <w:rsid w:val="00F971F9"/>
    <w:rsid w:val="00FA0810"/>
    <w:rsid w:val="00FA146E"/>
    <w:rsid w:val="00FA1681"/>
    <w:rsid w:val="00FA3891"/>
    <w:rsid w:val="00FA4EF3"/>
    <w:rsid w:val="00FA7319"/>
    <w:rsid w:val="00FA7D15"/>
    <w:rsid w:val="00FA7E09"/>
    <w:rsid w:val="00FB18F9"/>
    <w:rsid w:val="00FB2CC7"/>
    <w:rsid w:val="00FB2DE7"/>
    <w:rsid w:val="00FB49EC"/>
    <w:rsid w:val="00FC0303"/>
    <w:rsid w:val="00FC0898"/>
    <w:rsid w:val="00FC1F84"/>
    <w:rsid w:val="00FC2A50"/>
    <w:rsid w:val="00FC3720"/>
    <w:rsid w:val="00FC3D29"/>
    <w:rsid w:val="00FC49B3"/>
    <w:rsid w:val="00FC5C07"/>
    <w:rsid w:val="00FC664D"/>
    <w:rsid w:val="00FC66CE"/>
    <w:rsid w:val="00FC7344"/>
    <w:rsid w:val="00FD0D78"/>
    <w:rsid w:val="00FD1D0F"/>
    <w:rsid w:val="00FD3139"/>
    <w:rsid w:val="00FD4564"/>
    <w:rsid w:val="00FD54C5"/>
    <w:rsid w:val="00FD5EC2"/>
    <w:rsid w:val="00FD66D8"/>
    <w:rsid w:val="00FD68DA"/>
    <w:rsid w:val="00FE0A2C"/>
    <w:rsid w:val="00FE2BFB"/>
    <w:rsid w:val="00FE35E5"/>
    <w:rsid w:val="00FE66C3"/>
    <w:rsid w:val="00FF0BFB"/>
    <w:rsid w:val="00FF175C"/>
    <w:rsid w:val="00FF3B7E"/>
    <w:rsid w:val="00FF496D"/>
    <w:rsid w:val="00FF520A"/>
    <w:rsid w:val="00FF66A1"/>
    <w:rsid w:val="00FF7B71"/>
    <w:rsid w:val="00FF7BF2"/>
    <w:rsid w:val="03FE5287"/>
    <w:rsid w:val="0785486D"/>
    <w:rsid w:val="08A43C91"/>
    <w:rsid w:val="09324572"/>
    <w:rsid w:val="0C166B48"/>
    <w:rsid w:val="0D4B73CA"/>
    <w:rsid w:val="0F6537EE"/>
    <w:rsid w:val="1DA644CD"/>
    <w:rsid w:val="215D1792"/>
    <w:rsid w:val="216B5B6A"/>
    <w:rsid w:val="233034BB"/>
    <w:rsid w:val="26575966"/>
    <w:rsid w:val="26655F0D"/>
    <w:rsid w:val="26881FCD"/>
    <w:rsid w:val="269377E7"/>
    <w:rsid w:val="293C57A2"/>
    <w:rsid w:val="2B4F7A93"/>
    <w:rsid w:val="2BAA091A"/>
    <w:rsid w:val="2BD12C0F"/>
    <w:rsid w:val="2D9B3AEC"/>
    <w:rsid w:val="35185970"/>
    <w:rsid w:val="36A03184"/>
    <w:rsid w:val="38A43E24"/>
    <w:rsid w:val="3BB3668B"/>
    <w:rsid w:val="427D4944"/>
    <w:rsid w:val="474541E2"/>
    <w:rsid w:val="4927184C"/>
    <w:rsid w:val="4A3A1565"/>
    <w:rsid w:val="4DD67144"/>
    <w:rsid w:val="505E2550"/>
    <w:rsid w:val="50740398"/>
    <w:rsid w:val="55E569E8"/>
    <w:rsid w:val="55ED5325"/>
    <w:rsid w:val="58E81FB2"/>
    <w:rsid w:val="5A1E5A14"/>
    <w:rsid w:val="5D11557F"/>
    <w:rsid w:val="5E70577B"/>
    <w:rsid w:val="5EB57A3F"/>
    <w:rsid w:val="5FAF462D"/>
    <w:rsid w:val="63EC3738"/>
    <w:rsid w:val="649B7F60"/>
    <w:rsid w:val="6A872C1E"/>
    <w:rsid w:val="6B764857"/>
    <w:rsid w:val="6B931266"/>
    <w:rsid w:val="6BAD62D3"/>
    <w:rsid w:val="6FB52FD3"/>
    <w:rsid w:val="74365FFF"/>
    <w:rsid w:val="77C813D4"/>
    <w:rsid w:val="77DF7B5B"/>
    <w:rsid w:val="7BC27FD2"/>
    <w:rsid w:val="7DCC6005"/>
    <w:rsid w:val="7E0C4057"/>
    <w:rsid w:val="7FA94B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qFormat="1"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pPr>
    <w:rPr>
      <w:rFonts w:ascii="Calibri" w:hAnsi="Calibri" w:eastAsia="仿宋" w:cs="Times New Roman"/>
      <w:kern w:val="2"/>
      <w:sz w:val="32"/>
      <w:szCs w:val="22"/>
      <w:lang w:val="en-US" w:eastAsia="zh-CN" w:bidi="ar-SA"/>
    </w:rPr>
  </w:style>
  <w:style w:type="paragraph" w:styleId="4">
    <w:name w:val="heading 1"/>
    <w:basedOn w:val="1"/>
    <w:next w:val="1"/>
    <w:link w:val="33"/>
    <w:qFormat/>
    <w:uiPriority w:val="9"/>
    <w:pPr>
      <w:keepNext/>
      <w:keepLines/>
      <w:spacing w:before="340" w:after="330" w:line="578" w:lineRule="auto"/>
      <w:ind w:firstLine="0" w:firstLineChars="0"/>
      <w:outlineLvl w:val="0"/>
    </w:pPr>
    <w:rPr>
      <w:rFonts w:eastAsia="黑体"/>
      <w:b/>
      <w:bCs/>
      <w:kern w:val="44"/>
      <w:sz w:val="44"/>
      <w:szCs w:val="44"/>
    </w:rPr>
  </w:style>
  <w:style w:type="paragraph" w:styleId="5">
    <w:name w:val="heading 2"/>
    <w:basedOn w:val="6"/>
    <w:next w:val="1"/>
    <w:link w:val="34"/>
    <w:unhideWhenUsed/>
    <w:qFormat/>
    <w:uiPriority w:val="9"/>
    <w:pPr>
      <w:keepNext/>
      <w:keepLines/>
      <w:spacing w:before="260" w:after="260" w:line="415" w:lineRule="auto"/>
      <w:ind w:left="221" w:firstLine="0" w:firstLineChars="0"/>
      <w:outlineLvl w:val="1"/>
    </w:pPr>
    <w:rPr>
      <w:rFonts w:ascii="Cambria" w:hAnsi="Cambria" w:eastAsia="黑体"/>
      <w:b/>
      <w:bCs/>
      <w:sz w:val="36"/>
      <w:szCs w:val="32"/>
    </w:rPr>
  </w:style>
  <w:style w:type="paragraph" w:styleId="7">
    <w:name w:val="heading 3"/>
    <w:basedOn w:val="1"/>
    <w:next w:val="1"/>
    <w:link w:val="35"/>
    <w:unhideWhenUsed/>
    <w:qFormat/>
    <w:uiPriority w:val="9"/>
    <w:pPr>
      <w:keepNext/>
      <w:keepLines/>
      <w:spacing w:before="260" w:after="260" w:line="415" w:lineRule="auto"/>
      <w:outlineLvl w:val="2"/>
    </w:pPr>
    <w:rPr>
      <w:b/>
      <w:bCs/>
      <w:szCs w:val="32"/>
    </w:rPr>
  </w:style>
  <w:style w:type="paragraph" w:styleId="8">
    <w:name w:val="heading 4"/>
    <w:basedOn w:val="1"/>
    <w:next w:val="1"/>
    <w:link w:val="36"/>
    <w:unhideWhenUsed/>
    <w:qFormat/>
    <w:uiPriority w:val="9"/>
    <w:pPr>
      <w:keepNext/>
      <w:keepLines/>
      <w:spacing w:before="280" w:after="290" w:line="376" w:lineRule="auto"/>
      <w:outlineLvl w:val="3"/>
    </w:pPr>
    <w:rPr>
      <w:rFonts w:ascii="Cambria" w:hAnsi="Cambria"/>
      <w:b/>
      <w:bCs/>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32"/>
    <w:unhideWhenUsed/>
    <w:qFormat/>
    <w:uiPriority w:val="99"/>
    <w:pPr>
      <w:ind w:firstLine="420"/>
    </w:pPr>
  </w:style>
  <w:style w:type="paragraph" w:styleId="3">
    <w:name w:val="Body Text Indent"/>
    <w:basedOn w:val="1"/>
    <w:link w:val="31"/>
    <w:unhideWhenUsed/>
    <w:qFormat/>
    <w:uiPriority w:val="99"/>
    <w:pPr>
      <w:spacing w:after="120"/>
      <w:ind w:left="420" w:leftChars="200"/>
    </w:pPr>
  </w:style>
  <w:style w:type="paragraph" w:styleId="6">
    <w:name w:val="toc 2"/>
    <w:basedOn w:val="1"/>
    <w:next w:val="1"/>
    <w:unhideWhenUsed/>
    <w:qFormat/>
    <w:uiPriority w:val="39"/>
    <w:pPr>
      <w:widowControl/>
      <w:spacing w:after="100" w:line="276" w:lineRule="auto"/>
      <w:ind w:left="220"/>
    </w:pPr>
    <w:rPr>
      <w:kern w:val="0"/>
      <w:sz w:val="22"/>
    </w:rPr>
  </w:style>
  <w:style w:type="paragraph" w:styleId="9">
    <w:name w:val="toc 7"/>
    <w:basedOn w:val="1"/>
    <w:next w:val="1"/>
    <w:unhideWhenUsed/>
    <w:qFormat/>
    <w:uiPriority w:val="39"/>
    <w:pPr>
      <w:ind w:left="2520" w:leftChars="1200" w:firstLine="0" w:firstLineChars="0"/>
      <w:jc w:val="both"/>
    </w:pPr>
    <w:rPr>
      <w:sz w:val="21"/>
    </w:rPr>
  </w:style>
  <w:style w:type="paragraph" w:styleId="10">
    <w:name w:val="annotation text"/>
    <w:basedOn w:val="1"/>
    <w:link w:val="37"/>
    <w:unhideWhenUsed/>
    <w:qFormat/>
    <w:uiPriority w:val="99"/>
  </w:style>
  <w:style w:type="paragraph" w:styleId="11">
    <w:name w:val="toc 5"/>
    <w:basedOn w:val="1"/>
    <w:next w:val="1"/>
    <w:unhideWhenUsed/>
    <w:qFormat/>
    <w:uiPriority w:val="39"/>
    <w:pPr>
      <w:ind w:left="1680" w:leftChars="800" w:firstLine="0" w:firstLineChars="0"/>
      <w:jc w:val="both"/>
    </w:pPr>
    <w:rPr>
      <w:sz w:val="21"/>
    </w:rPr>
  </w:style>
  <w:style w:type="paragraph" w:styleId="12">
    <w:name w:val="toc 3"/>
    <w:basedOn w:val="1"/>
    <w:next w:val="1"/>
    <w:unhideWhenUsed/>
    <w:qFormat/>
    <w:uiPriority w:val="39"/>
    <w:pPr>
      <w:widowControl/>
      <w:spacing w:after="100" w:line="276" w:lineRule="auto"/>
      <w:ind w:left="440"/>
    </w:pPr>
    <w:rPr>
      <w:kern w:val="0"/>
      <w:sz w:val="22"/>
    </w:rPr>
  </w:style>
  <w:style w:type="paragraph" w:styleId="13">
    <w:name w:val="toc 8"/>
    <w:basedOn w:val="1"/>
    <w:next w:val="1"/>
    <w:unhideWhenUsed/>
    <w:qFormat/>
    <w:uiPriority w:val="39"/>
    <w:pPr>
      <w:ind w:left="2940" w:leftChars="1400" w:firstLine="0" w:firstLineChars="0"/>
      <w:jc w:val="both"/>
    </w:pPr>
    <w:rPr>
      <w:sz w:val="21"/>
    </w:rPr>
  </w:style>
  <w:style w:type="paragraph" w:styleId="14">
    <w:name w:val="Balloon Text"/>
    <w:basedOn w:val="1"/>
    <w:link w:val="39"/>
    <w:unhideWhenUsed/>
    <w:qFormat/>
    <w:uiPriority w:val="99"/>
    <w:rPr>
      <w:sz w:val="18"/>
      <w:szCs w:val="18"/>
    </w:rPr>
  </w:style>
  <w:style w:type="paragraph" w:styleId="15">
    <w:name w:val="footer"/>
    <w:basedOn w:val="1"/>
    <w:link w:val="40"/>
    <w:unhideWhenUsed/>
    <w:qFormat/>
    <w:uiPriority w:val="99"/>
    <w:pPr>
      <w:tabs>
        <w:tab w:val="center" w:pos="4153"/>
        <w:tab w:val="right" w:pos="8306"/>
      </w:tabs>
      <w:snapToGrid w:val="0"/>
    </w:pPr>
    <w:rPr>
      <w:sz w:val="18"/>
      <w:szCs w:val="18"/>
    </w:rPr>
  </w:style>
  <w:style w:type="paragraph" w:styleId="16">
    <w:name w:val="header"/>
    <w:basedOn w:val="1"/>
    <w:link w:val="41"/>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pPr>
      <w:widowControl/>
      <w:spacing w:after="100" w:line="276" w:lineRule="auto"/>
    </w:pPr>
    <w:rPr>
      <w:kern w:val="0"/>
      <w:sz w:val="22"/>
    </w:rPr>
  </w:style>
  <w:style w:type="paragraph" w:styleId="18">
    <w:name w:val="toc 4"/>
    <w:basedOn w:val="1"/>
    <w:next w:val="1"/>
    <w:unhideWhenUsed/>
    <w:qFormat/>
    <w:uiPriority w:val="39"/>
    <w:pPr>
      <w:ind w:left="1260" w:leftChars="600" w:firstLine="0" w:firstLineChars="0"/>
      <w:jc w:val="both"/>
    </w:pPr>
    <w:rPr>
      <w:sz w:val="21"/>
    </w:rPr>
  </w:style>
  <w:style w:type="paragraph" w:styleId="19">
    <w:name w:val="toc 6"/>
    <w:basedOn w:val="1"/>
    <w:next w:val="1"/>
    <w:unhideWhenUsed/>
    <w:qFormat/>
    <w:uiPriority w:val="39"/>
    <w:pPr>
      <w:ind w:left="2100" w:leftChars="1000" w:firstLine="0" w:firstLineChars="0"/>
      <w:jc w:val="both"/>
    </w:pPr>
    <w:rPr>
      <w:sz w:val="21"/>
    </w:rPr>
  </w:style>
  <w:style w:type="paragraph" w:styleId="20">
    <w:name w:val="toc 9"/>
    <w:basedOn w:val="1"/>
    <w:next w:val="1"/>
    <w:unhideWhenUsed/>
    <w:qFormat/>
    <w:uiPriority w:val="39"/>
    <w:pPr>
      <w:ind w:left="3360" w:leftChars="1600" w:firstLine="0" w:firstLineChars="0"/>
      <w:jc w:val="both"/>
    </w:pPr>
    <w:rPr>
      <w:sz w:val="21"/>
    </w:rPr>
  </w:style>
  <w:style w:type="paragraph" w:styleId="21">
    <w:name w:val="Normal (Web)"/>
    <w:basedOn w:val="1"/>
    <w:unhideWhenUsed/>
    <w:qFormat/>
    <w:uiPriority w:val="99"/>
    <w:pPr>
      <w:widowControl/>
      <w:spacing w:before="100" w:beforeAutospacing="1" w:after="100" w:afterAutospacing="1" w:line="240" w:lineRule="auto"/>
      <w:ind w:firstLine="0" w:firstLineChars="0"/>
    </w:pPr>
    <w:rPr>
      <w:rFonts w:ascii="宋体" w:hAnsi="宋体" w:cs="宋体"/>
      <w:kern w:val="0"/>
      <w:sz w:val="24"/>
      <w:szCs w:val="24"/>
    </w:rPr>
  </w:style>
  <w:style w:type="paragraph" w:styleId="22">
    <w:name w:val="Title"/>
    <w:basedOn w:val="1"/>
    <w:next w:val="1"/>
    <w:link w:val="42"/>
    <w:qFormat/>
    <w:uiPriority w:val="10"/>
    <w:pPr>
      <w:spacing w:before="240" w:after="60"/>
      <w:jc w:val="center"/>
      <w:outlineLvl w:val="0"/>
    </w:pPr>
    <w:rPr>
      <w:rFonts w:ascii="Cambria" w:hAnsi="Cambria"/>
      <w:b/>
      <w:bCs/>
      <w:szCs w:val="32"/>
    </w:rPr>
  </w:style>
  <w:style w:type="paragraph" w:styleId="23">
    <w:name w:val="annotation subject"/>
    <w:basedOn w:val="10"/>
    <w:next w:val="10"/>
    <w:link w:val="38"/>
    <w:unhideWhenUsed/>
    <w:qFormat/>
    <w:uiPriority w:val="99"/>
    <w:rPr>
      <w:b/>
      <w:bCs/>
    </w:rPr>
  </w:style>
  <w:style w:type="table" w:styleId="25">
    <w:name w:val="Table Grid"/>
    <w:basedOn w:val="24"/>
    <w:qFormat/>
    <w:uiPriority w:val="59"/>
    <w:pPr>
      <w:widowControl w:val="0"/>
      <w:spacing w:beforeLines="5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22"/>
    <w:rPr>
      <w:b/>
      <w:bCs/>
    </w:rPr>
  </w:style>
  <w:style w:type="character" w:styleId="28">
    <w:name w:val="FollowedHyperlink"/>
    <w:qFormat/>
    <w:uiPriority w:val="99"/>
    <w:rPr>
      <w:color w:val="800080"/>
      <w:u w:val="single"/>
    </w:rPr>
  </w:style>
  <w:style w:type="character" w:styleId="29">
    <w:name w:val="Hyperlink"/>
    <w:unhideWhenUsed/>
    <w:qFormat/>
    <w:uiPriority w:val="99"/>
    <w:rPr>
      <w:color w:val="0000FF"/>
      <w:u w:val="single"/>
    </w:rPr>
  </w:style>
  <w:style w:type="character" w:styleId="30">
    <w:name w:val="annotation reference"/>
    <w:unhideWhenUsed/>
    <w:qFormat/>
    <w:uiPriority w:val="99"/>
    <w:rPr>
      <w:sz w:val="21"/>
      <w:szCs w:val="21"/>
    </w:rPr>
  </w:style>
  <w:style w:type="character" w:customStyle="1" w:styleId="31">
    <w:name w:val="正文文本缩进 Char"/>
    <w:link w:val="3"/>
    <w:qFormat/>
    <w:uiPriority w:val="99"/>
    <w:rPr>
      <w:sz w:val="28"/>
    </w:rPr>
  </w:style>
  <w:style w:type="character" w:customStyle="1" w:styleId="32">
    <w:name w:val="正文首行缩进 2 Char"/>
    <w:link w:val="2"/>
    <w:qFormat/>
    <w:uiPriority w:val="99"/>
    <w:rPr>
      <w:sz w:val="28"/>
    </w:rPr>
  </w:style>
  <w:style w:type="character" w:customStyle="1" w:styleId="33">
    <w:name w:val="标题 1 Char"/>
    <w:link w:val="4"/>
    <w:qFormat/>
    <w:uiPriority w:val="9"/>
    <w:rPr>
      <w:rFonts w:ascii="Calibri" w:hAnsi="Calibri" w:eastAsia="黑体"/>
      <w:b/>
      <w:bCs/>
      <w:kern w:val="44"/>
      <w:sz w:val="44"/>
      <w:szCs w:val="44"/>
    </w:rPr>
  </w:style>
  <w:style w:type="character" w:customStyle="1" w:styleId="34">
    <w:name w:val="标题 2 Char"/>
    <w:link w:val="5"/>
    <w:qFormat/>
    <w:uiPriority w:val="9"/>
    <w:rPr>
      <w:rFonts w:ascii="Cambria" w:hAnsi="Cambria" w:eastAsia="黑体"/>
      <w:b/>
      <w:bCs/>
      <w:sz w:val="36"/>
      <w:szCs w:val="32"/>
    </w:rPr>
  </w:style>
  <w:style w:type="character" w:customStyle="1" w:styleId="35">
    <w:name w:val="标题 3 Char"/>
    <w:link w:val="7"/>
    <w:qFormat/>
    <w:uiPriority w:val="9"/>
    <w:rPr>
      <w:rFonts w:ascii="Calibri" w:hAnsi="Calibri"/>
      <w:b/>
      <w:bCs/>
      <w:kern w:val="2"/>
      <w:sz w:val="32"/>
      <w:szCs w:val="32"/>
    </w:rPr>
  </w:style>
  <w:style w:type="character" w:customStyle="1" w:styleId="36">
    <w:name w:val="标题 4 Char"/>
    <w:link w:val="8"/>
    <w:qFormat/>
    <w:uiPriority w:val="9"/>
    <w:rPr>
      <w:rFonts w:ascii="Cambria" w:hAnsi="Cambria" w:eastAsia="宋体"/>
      <w:b/>
      <w:bCs/>
      <w:sz w:val="28"/>
      <w:szCs w:val="28"/>
    </w:rPr>
  </w:style>
  <w:style w:type="character" w:customStyle="1" w:styleId="37">
    <w:name w:val="批注文字 Char"/>
    <w:link w:val="10"/>
    <w:qFormat/>
    <w:uiPriority w:val="99"/>
    <w:rPr>
      <w:sz w:val="28"/>
    </w:rPr>
  </w:style>
  <w:style w:type="character" w:customStyle="1" w:styleId="38">
    <w:name w:val="批注主题 Char"/>
    <w:link w:val="23"/>
    <w:qFormat/>
    <w:uiPriority w:val="99"/>
    <w:rPr>
      <w:b/>
      <w:bCs/>
      <w:sz w:val="28"/>
    </w:rPr>
  </w:style>
  <w:style w:type="character" w:customStyle="1" w:styleId="39">
    <w:name w:val="批注框文本 Char"/>
    <w:link w:val="14"/>
    <w:qFormat/>
    <w:uiPriority w:val="99"/>
    <w:rPr>
      <w:sz w:val="18"/>
      <w:szCs w:val="18"/>
    </w:rPr>
  </w:style>
  <w:style w:type="character" w:customStyle="1" w:styleId="40">
    <w:name w:val="页脚 Char"/>
    <w:link w:val="15"/>
    <w:qFormat/>
    <w:uiPriority w:val="99"/>
    <w:rPr>
      <w:sz w:val="18"/>
      <w:szCs w:val="18"/>
    </w:rPr>
  </w:style>
  <w:style w:type="character" w:customStyle="1" w:styleId="41">
    <w:name w:val="页眉 Char"/>
    <w:link w:val="16"/>
    <w:qFormat/>
    <w:uiPriority w:val="99"/>
    <w:rPr>
      <w:sz w:val="18"/>
      <w:szCs w:val="18"/>
    </w:rPr>
  </w:style>
  <w:style w:type="character" w:customStyle="1" w:styleId="42">
    <w:name w:val="标题 Char"/>
    <w:link w:val="22"/>
    <w:qFormat/>
    <w:uiPriority w:val="10"/>
    <w:rPr>
      <w:rFonts w:ascii="Cambria" w:hAnsi="Cambria" w:eastAsia="宋体"/>
      <w:b/>
      <w:bCs/>
      <w:sz w:val="32"/>
      <w:szCs w:val="32"/>
    </w:rPr>
  </w:style>
  <w:style w:type="paragraph" w:customStyle="1" w:styleId="43">
    <w:name w:val="TOC 标题1"/>
    <w:basedOn w:val="4"/>
    <w:next w:val="1"/>
    <w:unhideWhenUsed/>
    <w:qFormat/>
    <w:uiPriority w:val="39"/>
    <w:pPr>
      <w:widowControl/>
      <w:spacing w:before="480" w:after="0" w:line="276" w:lineRule="auto"/>
      <w:outlineLvl w:val="9"/>
    </w:pPr>
    <w:rPr>
      <w:rFonts w:ascii="Cambria" w:hAnsi="Cambria"/>
      <w:color w:val="365F90"/>
      <w:kern w:val="0"/>
      <w:sz w:val="28"/>
      <w:szCs w:val="28"/>
    </w:rPr>
  </w:style>
  <w:style w:type="paragraph" w:customStyle="1" w:styleId="44">
    <w:name w:val="列出段落1"/>
    <w:basedOn w:val="1"/>
    <w:qFormat/>
    <w:uiPriority w:val="34"/>
    <w:pPr>
      <w:ind w:firstLine="420"/>
    </w:pPr>
  </w:style>
  <w:style w:type="character" w:customStyle="1" w:styleId="45">
    <w:name w:val="font11"/>
    <w:basedOn w:val="26"/>
    <w:qFormat/>
    <w:uiPriority w:val="0"/>
    <w:rPr>
      <w:rFonts w:hint="eastAsia" w:ascii="宋体" w:hAnsi="宋体" w:eastAsia="宋体" w:cs="宋体"/>
      <w:b/>
      <w:color w:val="000000"/>
      <w:sz w:val="20"/>
      <w:szCs w:val="20"/>
      <w:u w:val="none"/>
    </w:rPr>
  </w:style>
  <w:style w:type="character" w:customStyle="1" w:styleId="46">
    <w:name w:val="font01"/>
    <w:basedOn w:val="26"/>
    <w:qFormat/>
    <w:uiPriority w:val="0"/>
    <w:rPr>
      <w:rFonts w:hint="eastAsia" w:ascii="宋体" w:hAnsi="宋体" w:eastAsia="宋体" w:cs="宋体"/>
      <w:b/>
      <w:color w:val="000000"/>
      <w:sz w:val="20"/>
      <w:szCs w:val="20"/>
      <w:u w:val="none"/>
      <w:vertAlign w:val="superscript"/>
    </w:rPr>
  </w:style>
  <w:style w:type="paragraph" w:customStyle="1" w:styleId="47">
    <w:name w:val="列出段落2"/>
    <w:basedOn w:val="1"/>
    <w:unhideWhenUsed/>
    <w:qFormat/>
    <w:uiPriority w:val="99"/>
    <w:pPr>
      <w:ind w:firstLine="420"/>
    </w:pPr>
  </w:style>
  <w:style w:type="paragraph" w:customStyle="1" w:styleId="48">
    <w:name w:val="Default"/>
    <w:qFormat/>
    <w:uiPriority w:val="0"/>
    <w:pPr>
      <w:widowControl w:val="0"/>
      <w:autoSpaceDE w:val="0"/>
      <w:autoSpaceDN w:val="0"/>
      <w:adjustRightInd w:val="0"/>
    </w:pPr>
    <w:rPr>
      <w:rFonts w:ascii="仿宋" w:hAnsi="Times New Roman" w:eastAsia="仿宋" w:cs="仿宋"/>
      <w:color w:val="000000"/>
      <w:sz w:val="24"/>
      <w:szCs w:val="24"/>
      <w:lang w:val="en-US" w:eastAsia="zh-CN" w:bidi="ar-SA"/>
    </w:rPr>
  </w:style>
  <w:style w:type="paragraph" w:customStyle="1" w:styleId="49">
    <w:name w:val="样式 标题 2 + Times New Roman 黑色 居中"/>
    <w:basedOn w:val="5"/>
    <w:qFormat/>
    <w:uiPriority w:val="0"/>
    <w:pPr>
      <w:widowControl w:val="0"/>
      <w:ind w:left="0"/>
    </w:pPr>
    <w:rPr>
      <w:rFonts w:ascii="Times New Roman" w:hAnsi="Times New Roman" w:cs="宋体"/>
      <w:color w:val="000000"/>
      <w:kern w:val="20"/>
      <w:sz w:val="32"/>
      <w:szCs w:val="20"/>
    </w:rPr>
  </w:style>
  <w:style w:type="paragraph" w:customStyle="1" w:styleId="50">
    <w:name w:val="本文正文"/>
    <w:basedOn w:val="1"/>
    <w:link w:val="51"/>
    <w:qFormat/>
    <w:uiPriority w:val="0"/>
    <w:pPr>
      <w:ind w:firstLine="560"/>
      <w:jc w:val="both"/>
    </w:pPr>
  </w:style>
  <w:style w:type="character" w:customStyle="1" w:styleId="51">
    <w:name w:val="本文正文 Char"/>
    <w:basedOn w:val="26"/>
    <w:link w:val="50"/>
    <w:qFormat/>
    <w:uiPriority w:val="0"/>
    <w:rPr>
      <w:rFonts w:ascii="Calibri" w:hAnsi="Calibri"/>
      <w:kern w:val="2"/>
      <w:sz w:val="28"/>
      <w:szCs w:val="22"/>
    </w:rPr>
  </w:style>
  <w:style w:type="character" w:customStyle="1" w:styleId="52">
    <w:name w:val="font101"/>
    <w:basedOn w:val="26"/>
    <w:qFormat/>
    <w:uiPriority w:val="0"/>
    <w:rPr>
      <w:rFonts w:hint="default" w:ascii="仿宋_GB2312" w:eastAsia="仿宋_GB2312" w:cs="仿宋_GB2312"/>
      <w:b/>
      <w:color w:val="000000"/>
      <w:sz w:val="18"/>
      <w:szCs w:val="18"/>
      <w:u w:val="none"/>
    </w:rPr>
  </w:style>
  <w:style w:type="paragraph" w:customStyle="1" w:styleId="53">
    <w:name w:val="一级标题"/>
    <w:basedOn w:val="4"/>
    <w:link w:val="54"/>
    <w:qFormat/>
    <w:uiPriority w:val="0"/>
    <w:pPr>
      <w:jc w:val="center"/>
    </w:pPr>
  </w:style>
  <w:style w:type="character" w:customStyle="1" w:styleId="54">
    <w:name w:val="一级标题 Char"/>
    <w:basedOn w:val="33"/>
    <w:link w:val="53"/>
    <w:qFormat/>
    <w:uiPriority w:val="0"/>
    <w:rPr>
      <w:rFonts w:ascii="Calibri" w:hAnsi="Calibri" w:eastAsia="黑体"/>
      <w:kern w:val="44"/>
      <w:sz w:val="44"/>
      <w:szCs w:val="44"/>
    </w:rPr>
  </w:style>
  <w:style w:type="paragraph" w:customStyle="1" w:styleId="55">
    <w:name w:val="二级标题"/>
    <w:basedOn w:val="5"/>
    <w:link w:val="56"/>
    <w:qFormat/>
    <w:uiPriority w:val="0"/>
    <w:pPr>
      <w:jc w:val="center"/>
    </w:pPr>
  </w:style>
  <w:style w:type="character" w:customStyle="1" w:styleId="56">
    <w:name w:val="二级标题 Char"/>
    <w:basedOn w:val="34"/>
    <w:link w:val="55"/>
    <w:qFormat/>
    <w:uiPriority w:val="0"/>
    <w:rPr>
      <w:rFonts w:ascii="Cambria" w:hAnsi="Cambria" w:eastAsia="黑体"/>
      <w:sz w:val="36"/>
      <w:szCs w:val="32"/>
    </w:rPr>
  </w:style>
  <w:style w:type="paragraph" w:customStyle="1" w:styleId="57">
    <w:name w:val="三级标题"/>
    <w:basedOn w:val="50"/>
    <w:link w:val="58"/>
    <w:qFormat/>
    <w:uiPriority w:val="0"/>
    <w:pPr>
      <w:ind w:firstLine="643"/>
    </w:pPr>
    <w:rPr>
      <w:rFonts w:ascii="黑体" w:hAnsi="黑体" w:eastAsia="黑体" w:cs="仿宋"/>
      <w:b/>
      <w:szCs w:val="32"/>
    </w:rPr>
  </w:style>
  <w:style w:type="character" w:customStyle="1" w:styleId="58">
    <w:name w:val="三级标题 Char"/>
    <w:basedOn w:val="51"/>
    <w:link w:val="57"/>
    <w:qFormat/>
    <w:uiPriority w:val="0"/>
    <w:rPr>
      <w:rFonts w:ascii="黑体" w:hAnsi="黑体" w:eastAsia="黑体" w:cs="仿宋"/>
      <w:b/>
      <w:kern w:val="2"/>
      <w:sz w:val="32"/>
      <w:szCs w:val="32"/>
    </w:rPr>
  </w:style>
  <w:style w:type="paragraph" w:customStyle="1" w:styleId="59">
    <w:name w:val="表头"/>
    <w:basedOn w:val="50"/>
    <w:link w:val="60"/>
    <w:qFormat/>
    <w:uiPriority w:val="0"/>
    <w:pPr>
      <w:ind w:firstLine="0" w:firstLineChars="0"/>
      <w:jc w:val="center"/>
    </w:pPr>
    <w:rPr>
      <w:rFonts w:ascii="宋体" w:hAnsi="宋体"/>
      <w:szCs w:val="28"/>
    </w:rPr>
  </w:style>
  <w:style w:type="character" w:customStyle="1" w:styleId="60">
    <w:name w:val="表头 Char"/>
    <w:basedOn w:val="51"/>
    <w:link w:val="59"/>
    <w:qFormat/>
    <w:uiPriority w:val="0"/>
    <w:rPr>
      <w:rFonts w:ascii="宋体" w:hAnsi="宋体"/>
      <w:kern w:val="2"/>
      <w:sz w:val="28"/>
      <w:szCs w:val="28"/>
    </w:rPr>
  </w:style>
  <w:style w:type="paragraph" w:customStyle="1" w:styleId="61">
    <w:name w:val="表格文字"/>
    <w:basedOn w:val="50"/>
    <w:link w:val="62"/>
    <w:qFormat/>
    <w:uiPriority w:val="0"/>
    <w:pPr>
      <w:spacing w:line="240" w:lineRule="auto"/>
      <w:ind w:firstLine="0" w:firstLineChars="0"/>
      <w:jc w:val="center"/>
    </w:pPr>
    <w:rPr>
      <w:rFonts w:ascii="宋体" w:hAnsi="宋体"/>
      <w:sz w:val="21"/>
      <w:szCs w:val="21"/>
    </w:rPr>
  </w:style>
  <w:style w:type="character" w:customStyle="1" w:styleId="62">
    <w:name w:val="表格文字 Char"/>
    <w:basedOn w:val="51"/>
    <w:link w:val="61"/>
    <w:qFormat/>
    <w:uiPriority w:val="0"/>
    <w:rPr>
      <w:rFonts w:ascii="宋体" w:hAnsi="宋体"/>
      <w:kern w:val="2"/>
      <w:sz w:val="21"/>
      <w:szCs w:val="21"/>
    </w:rPr>
  </w:style>
  <w:style w:type="paragraph" w:customStyle="1" w:styleId="63">
    <w:name w:val="四级标题"/>
    <w:basedOn w:val="50"/>
    <w:link w:val="64"/>
    <w:qFormat/>
    <w:uiPriority w:val="0"/>
    <w:pPr>
      <w:ind w:firstLine="643"/>
      <w:jc w:val="left"/>
    </w:pPr>
    <w:rPr>
      <w:rFonts w:ascii="仿宋" w:hAnsi="仿宋" w:cs="仿宋"/>
      <w:b/>
      <w:szCs w:val="32"/>
    </w:rPr>
  </w:style>
  <w:style w:type="character" w:customStyle="1" w:styleId="64">
    <w:name w:val="四级标题 Char"/>
    <w:basedOn w:val="51"/>
    <w:link w:val="63"/>
    <w:qFormat/>
    <w:uiPriority w:val="0"/>
    <w:rPr>
      <w:rFonts w:ascii="仿宋" w:hAnsi="仿宋" w:eastAsia="仿宋" w:cs="仿宋"/>
      <w:b/>
      <w:kern w:val="2"/>
      <w:sz w:val="32"/>
      <w:szCs w:val="32"/>
    </w:rPr>
  </w:style>
  <w:style w:type="paragraph" w:customStyle="1" w:styleId="65">
    <w:name w:val="五级标题"/>
    <w:basedOn w:val="50"/>
    <w:link w:val="66"/>
    <w:qFormat/>
    <w:uiPriority w:val="0"/>
    <w:pPr>
      <w:ind w:firstLine="643"/>
    </w:pPr>
    <w:rPr>
      <w:rFonts w:ascii="仿宋" w:hAnsi="仿宋"/>
      <w:b/>
      <w:szCs w:val="32"/>
    </w:rPr>
  </w:style>
  <w:style w:type="character" w:customStyle="1" w:styleId="66">
    <w:name w:val="五级标题 Char"/>
    <w:basedOn w:val="51"/>
    <w:link w:val="65"/>
    <w:qFormat/>
    <w:uiPriority w:val="0"/>
    <w:rPr>
      <w:rFonts w:ascii="仿宋" w:hAnsi="仿宋" w:eastAsia="仿宋"/>
      <w:b/>
      <w:kern w:val="2"/>
      <w:sz w:val="32"/>
      <w:szCs w:val="32"/>
    </w:rPr>
  </w:style>
  <w:style w:type="paragraph" w:customStyle="1" w:styleId="67">
    <w:name w:val="正文1"/>
    <w:basedOn w:val="50"/>
    <w:link w:val="68"/>
    <w:qFormat/>
    <w:uiPriority w:val="0"/>
    <w:pPr>
      <w:ind w:firstLine="640"/>
    </w:pPr>
    <w:rPr>
      <w:rFonts w:ascii="仿宋" w:hAnsi="仿宋"/>
      <w:szCs w:val="32"/>
    </w:rPr>
  </w:style>
  <w:style w:type="character" w:customStyle="1" w:styleId="68">
    <w:name w:val="正文1 Char"/>
    <w:basedOn w:val="51"/>
    <w:link w:val="67"/>
    <w:qFormat/>
    <w:uiPriority w:val="0"/>
    <w:rPr>
      <w:rFonts w:ascii="仿宋" w:hAnsi="仿宋" w:eastAsia="仿宋"/>
      <w:kern w:val="2"/>
      <w:sz w:val="32"/>
      <w:szCs w:val="32"/>
    </w:rPr>
  </w:style>
  <w:style w:type="character" w:customStyle="1" w:styleId="69">
    <w:name w:val="tml三级 Char"/>
    <w:basedOn w:val="26"/>
    <w:link w:val="70"/>
    <w:qFormat/>
    <w:locked/>
    <w:uiPriority w:val="0"/>
    <w:rPr>
      <w:rFonts w:ascii="Calibri" w:hAnsi="Calibri"/>
      <w:b/>
      <w:bCs/>
      <w:sz w:val="32"/>
      <w:szCs w:val="32"/>
    </w:rPr>
  </w:style>
  <w:style w:type="paragraph" w:customStyle="1" w:styleId="70">
    <w:name w:val="tml三级"/>
    <w:basedOn w:val="1"/>
    <w:link w:val="69"/>
    <w:qFormat/>
    <w:uiPriority w:val="0"/>
    <w:pPr>
      <w:keepNext/>
      <w:keepLines/>
      <w:spacing w:before="260" w:after="260" w:line="412" w:lineRule="auto"/>
      <w:ind w:firstLine="565" w:firstLineChars="176"/>
      <w:outlineLvl w:val="2"/>
    </w:pPr>
    <w:rPr>
      <w:b/>
      <w:bCs/>
      <w:kern w:val="0"/>
      <w:szCs w:val="32"/>
    </w:rPr>
  </w:style>
  <w:style w:type="character" w:customStyle="1" w:styleId="71">
    <w:name w:val="tml二级 Char"/>
    <w:basedOn w:val="26"/>
    <w:link w:val="72"/>
    <w:qFormat/>
    <w:locked/>
    <w:uiPriority w:val="0"/>
    <w:rPr>
      <w:rFonts w:ascii="Cambria" w:hAnsi="Cambria"/>
      <w:b/>
      <w:sz w:val="32"/>
      <w:szCs w:val="32"/>
    </w:rPr>
  </w:style>
  <w:style w:type="paragraph" w:customStyle="1" w:styleId="72">
    <w:name w:val="tml二级"/>
    <w:basedOn w:val="1"/>
    <w:link w:val="71"/>
    <w:qFormat/>
    <w:uiPriority w:val="0"/>
    <w:pPr>
      <w:keepNext/>
      <w:keepLines/>
      <w:widowControl/>
      <w:tabs>
        <w:tab w:val="right" w:leader="dot" w:pos="8296"/>
      </w:tabs>
      <w:spacing w:before="260" w:after="260" w:line="412" w:lineRule="auto"/>
      <w:ind w:left="221" w:firstLine="0" w:firstLineChars="0"/>
      <w:outlineLvl w:val="1"/>
    </w:pPr>
    <w:rPr>
      <w:rFonts w:ascii="Cambria" w:hAnsi="Cambria"/>
      <w:b/>
      <w:kern w:val="0"/>
      <w:szCs w:val="32"/>
    </w:rPr>
  </w:style>
  <w:style w:type="paragraph" w:styleId="73">
    <w:name w:val="List Paragraph"/>
    <w:basedOn w:val="1"/>
    <w:unhideWhenUsed/>
    <w:qFormat/>
    <w:uiPriority w:val="99"/>
    <w:pPr>
      <w:ind w:firstLine="42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1.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B3F826-1FB3-4D3E-A43C-16933EC113E3}">
  <ds:schemaRefs/>
</ds:datastoreItem>
</file>

<file path=docProps/app.xml><?xml version="1.0" encoding="utf-8"?>
<Properties xmlns="http://schemas.openxmlformats.org/officeDocument/2006/extended-properties" xmlns:vt="http://schemas.openxmlformats.org/officeDocument/2006/docPropsVTypes">
  <Template>Normal</Template>
  <Company>系统天地官网</Company>
  <Pages>43</Pages>
  <Words>19793</Words>
  <Characters>20032</Characters>
  <Lines>144</Lines>
  <Paragraphs>40</Paragraphs>
  <TotalTime>16583</TotalTime>
  <ScaleCrop>false</ScaleCrop>
  <LinksUpToDate>false</LinksUpToDate>
  <CharactersWithSpaces>20076</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2017-06-24T13:04:00Z</dcterms:created>
  <dc:creator>huahudie</dc:creator>
  <cp:lastModifiedBy>H</cp:lastModifiedBy>
  <cp:lastPrinted>2022-06-24T07:07:00Z</cp:lastPrinted>
  <dcterms:modified xsi:type="dcterms:W3CDTF">2022-12-26T03:15:54Z</dcterms:modified>
  <dc:title>随州市矿产资源规划</dc:title>
  <cp:revision>405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2FB56A4E6A26461E8B29BBAE7843C071</vt:lpwstr>
  </property>
</Properties>
</file>