
<file path=[Content_Types].xml><?xml version="1.0" encoding="utf-8"?>
<Types xmlns="http://schemas.openxmlformats.org/package/2006/content-types">
  <Default Extension="xml" ContentType="application/xml"/>
  <Default Extension="wmf" ContentType="image/x-wmf"/>
  <Default Extension="png" ContentType="image/png"/>
  <Default Extension="jpeg" ContentType="image/jpeg"/>
  <Default Extension="rels" ContentType="application/vnd.openxmlformats-package.relationships+xml"/>
  <Default Extension="bin" ContentType="application/vnd.openxmlformats-officedocument.oleObject"/>
  <Override PartName="/docProps/app.xml" ContentType="application/vnd.openxmlformats-officedocument.extended-properties+xml"/>
  <Override PartName="/word/footer2.xml" ContentType="application/vnd.openxmlformats-officedocument.wordprocessingml.footer+xml"/>
  <Override PartName="/word/footer1.xml" ContentType="application/vnd.openxmlformats-officedocument.wordprocessingml.footer+xml"/>
  <Override PartName="/word/header3.xml" ContentType="application/vnd.openxmlformats-officedocument.wordprocessingml.header+xml"/>
  <Override PartName="/word/footnotes.xml" ContentType="application/vnd.openxmlformats-officedocument.wordprocessingml.footnotes+xml"/>
  <Override PartName="/docProps/core.xml" ContentType="application/vnd.openxmlformats-package.core-properties+xml"/>
  <Override PartName="/word/header2.xml" ContentType="application/vnd.openxmlformats-officedocument.wordprocessingml.header+xml"/>
  <Override PartName="/word/fontTable.xml" ContentType="application/vnd.openxmlformats-officedocument.wordprocessingml.fontTable+xml"/>
  <Override PartName="/word/footer4.xml" ContentType="application/vnd.openxmlformats-officedocument.wordprocessingml.footer+xml"/>
  <Override PartName="/word/footer3.xml" ContentType="application/vnd.openxmlformats-officedocument.wordprocessingml.footer+xml"/>
  <Override PartName="/word/theme/theme1.xml" ContentType="application/vnd.openxmlformats-officedocument.theme+xml"/>
  <Override PartName="/word/webSettings.xml" ContentType="application/vnd.openxmlformats-officedocument.wordprocessingml.webSettings+xml"/>
  <Override PartName="/word/endnotes.xml" ContentType="application/vnd.openxmlformats-officedocument.wordprocessingml.endnotes+xml"/>
  <Override PartName="/word/settings.xml" ContentType="application/vnd.openxmlformats-officedocument.wordprocessingml.settings+xml"/>
  <Override PartName="/word/styles.xml" ContentType="application/vnd.openxmlformats-officedocument.wordprocessingml.styles+xml"/>
  <Override PartName="/word/header1.xml" ContentType="application/vnd.openxmlformats-officedocument.wordprocessingml.header+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ackground w:color="FFFFFF">
    <v:background id="_x0000_s1025" fillcolor="#FFFFFF"/>
  </w:background>
  <w:body>
    <w:p>
      <w:pPr>
        <w:pStyle w:val="737"/>
        <w:pBdr/>
        <w:spacing w:line="440" w:lineRule="exact"/>
        <w:ind w:firstLine="0" w:left="0"/>
        <w:rPr>
          <w:color w:val="000000"/>
        </w:rPr>
      </w:pPr>
      <w:r/>
      <w:bookmarkStart w:id="0" w:name="_Hlk54793823"/>
      <w:r/>
      <w:bookmarkStart w:id="1" w:name="_Hlk54799353"/>
      <w:r>
        <w:rPr>
          <w:color w:val="000000"/>
        </w:rPr>
      </w:r>
      <w:r>
        <w:rPr>
          <w:color w:val="000000"/>
        </w:rPr>
      </w:r>
    </w:p>
    <w:p>
      <w:pPr>
        <w:pStyle w:val="737"/>
        <w:pBdr/>
        <w:spacing w:line="440" w:lineRule="exact"/>
        <w:ind w:firstLine="640"/>
        <w:rPr>
          <w:color w:val="000000"/>
        </w:rPr>
      </w:pPr>
      <w:r>
        <w:rPr>
          <w:color w:val="000000"/>
        </w:rPr>
      </w:r>
      <w:r>
        <w:rPr>
          <w:color w:val="000000"/>
        </w:rPr>
      </w:r>
    </w:p>
    <w:p>
      <w:pPr>
        <w:pStyle w:val="737"/>
        <w:pBdr/>
        <w:spacing w:line="800" w:lineRule="exact"/>
        <w:ind w:firstLine="0"/>
        <w:jc w:val="center"/>
        <w:rPr>
          <w:rFonts w:eastAsia="方正小标宋简体" w:cs="方正小标宋简体"/>
          <w:color w:val="000000"/>
          <w:sz w:val="44"/>
          <w:szCs w:val="44"/>
        </w:rPr>
      </w:pPr>
      <w:r>
        <w:rPr>
          <w:rFonts w:hint="eastAsia" w:eastAsia="方正小标宋简体" w:cs="方正小标宋简体"/>
          <w:color w:val="000000"/>
          <w:sz w:val="44"/>
          <w:szCs w:val="44"/>
        </w:rPr>
        <w:t xml:space="preserve">随州市国民经济和社会发展</w:t>
      </w:r>
      <w:r>
        <w:rPr>
          <w:rFonts w:eastAsia="方正小标宋简体" w:cs="方正小标宋简体"/>
          <w:color w:val="000000"/>
          <w:sz w:val="44"/>
          <w:szCs w:val="44"/>
        </w:rPr>
      </w:r>
      <w:r>
        <w:rPr>
          <w:rFonts w:eastAsia="方正小标宋简体" w:cs="方正小标宋简体"/>
          <w:color w:val="000000"/>
          <w:sz w:val="44"/>
          <w:szCs w:val="44"/>
        </w:rPr>
      </w:r>
    </w:p>
    <w:p>
      <w:pPr>
        <w:pStyle w:val="737"/>
        <w:pBdr/>
        <w:spacing w:line="800" w:lineRule="exact"/>
        <w:ind w:firstLine="0"/>
        <w:jc w:val="center"/>
        <w:rPr>
          <w:rFonts w:eastAsia="方正小标宋简体"/>
          <w:color w:val="000000"/>
          <w:sz w:val="44"/>
          <w:szCs w:val="44"/>
        </w:rPr>
      </w:pPr>
      <w:r>
        <w:rPr>
          <w:rFonts w:hint="eastAsia" w:eastAsia="方正小标宋简体" w:cs="方正小标宋简体"/>
          <w:color w:val="000000"/>
          <w:sz w:val="44"/>
          <w:szCs w:val="44"/>
        </w:rPr>
        <w:t xml:space="preserve">第十四个五年规划和</w:t>
      </w:r>
      <w:r>
        <w:rPr>
          <w:rFonts w:hint="eastAsia" w:eastAsia="方正小标宋简体" w:cs="方正小标宋简体"/>
          <w:color w:val="000000"/>
          <w:sz w:val="44"/>
          <w:szCs w:val="44"/>
          <w:lang w:val="en-US" w:eastAsia="zh-CN"/>
        </w:rPr>
        <w:t xml:space="preserve">2035</w:t>
      </w:r>
      <w:r>
        <w:rPr>
          <w:rFonts w:hint="eastAsia" w:eastAsia="方正小标宋简体" w:cs="方正小标宋简体"/>
          <w:color w:val="000000"/>
          <w:sz w:val="44"/>
          <w:szCs w:val="44"/>
        </w:rPr>
        <w:t xml:space="preserve">年远景目标纲要</w:t>
      </w:r>
      <w:r>
        <w:rPr>
          <w:rFonts w:eastAsia="方正小标宋简体"/>
          <w:color w:val="000000"/>
          <w:sz w:val="44"/>
          <w:szCs w:val="44"/>
        </w:rPr>
      </w:r>
      <w:r>
        <w:rPr>
          <w:rFonts w:eastAsia="方正小标宋简体"/>
          <w:color w:val="000000"/>
          <w:sz w:val="44"/>
          <w:szCs w:val="44"/>
        </w:rPr>
      </w:r>
    </w:p>
    <w:p>
      <w:pPr>
        <w:pStyle w:val="792"/>
        <w:pBdr/>
        <w:spacing/>
        <w:ind/>
        <w:rPr>
          <w:color w:val="000000"/>
        </w:rPr>
      </w:pPr>
      <w:r>
        <w:rPr>
          <w:color w:val="000000"/>
        </w:rPr>
      </w:r>
      <w:r>
        <w:rPr>
          <w:color w:val="000000"/>
        </w:rPr>
      </w:r>
    </w:p>
    <w:p>
      <w:pPr>
        <w:pStyle w:val="792"/>
        <w:pBdr/>
        <w:spacing/>
        <w:ind w:firstLine="480" w:left="640"/>
        <w:rPr>
          <w:color w:val="000000"/>
        </w:rPr>
      </w:pPr>
      <w:r>
        <w:rPr>
          <w:color w:val="000000"/>
        </w:rPr>
      </w:r>
      <w:r>
        <w:rPr>
          <w:color w:val="000000"/>
        </w:rPr>
      </w:r>
    </w:p>
    <w:p>
      <w:pPr>
        <w:pStyle w:val="792"/>
        <w:pBdr/>
        <w:spacing/>
        <w:ind w:firstLine="480" w:left="640"/>
        <w:rPr>
          <w:color w:val="000000"/>
        </w:rPr>
      </w:pPr>
      <w:r>
        <w:rPr>
          <w:color w:val="000000"/>
        </w:rPr>
      </w:r>
      <w:r>
        <w:rPr>
          <w:color w:val="000000"/>
        </w:rPr>
      </w:r>
    </w:p>
    <w:p>
      <w:pPr>
        <w:pStyle w:val="792"/>
        <w:pBdr/>
        <w:spacing/>
        <w:ind w:firstLine="480" w:left="640"/>
        <w:rPr>
          <w:color w:val="000000"/>
        </w:rPr>
      </w:pPr>
      <w:r>
        <w:rPr>
          <w:color w:val="000000"/>
        </w:rPr>
      </w:r>
      <w:r>
        <w:rPr>
          <w:color w:val="000000"/>
        </w:rPr>
      </w:r>
    </w:p>
    <w:p>
      <w:pPr>
        <w:pStyle w:val="792"/>
        <w:pBdr/>
        <w:spacing/>
        <w:ind w:firstLine="480" w:left="640"/>
        <w:rPr>
          <w:rFonts w:hint="eastAsia"/>
          <w:color w:val="000000"/>
        </w:rPr>
      </w:pPr>
      <w:r>
        <w:rPr>
          <w:rFonts w:hint="eastAsia"/>
          <w:color w:val="000000"/>
        </w:rPr>
      </w:r>
      <w:r>
        <w:rPr>
          <w:rFonts w:hint="eastAsia"/>
          <w:color w:val="000000"/>
        </w:rPr>
      </w:r>
    </w:p>
    <w:p>
      <w:pPr>
        <w:pStyle w:val="737"/>
        <w:pBdr/>
        <w:spacing/>
        <w:ind w:firstLine="640"/>
        <w:rPr>
          <w:rFonts w:hint="eastAsia"/>
        </w:rPr>
      </w:pPr>
      <w:r>
        <w:rPr>
          <w:rFonts w:hint="eastAsia"/>
        </w:rPr>
      </w:r>
      <w:r>
        <w:rPr>
          <w:rFonts w:hint="eastAsia"/>
        </w:rPr>
      </w:r>
    </w:p>
    <w:p>
      <w:pPr>
        <w:pStyle w:val="737"/>
        <w:pBdr/>
        <w:spacing/>
        <w:ind w:firstLine="640"/>
        <w:rPr>
          <w:color w:val="000000"/>
        </w:rPr>
      </w:pPr>
      <w:r>
        <w:rPr>
          <w:color w:val="000000"/>
        </w:rPr>
      </w:r>
      <w:r>
        <w:rPr>
          <w:color w:val="000000"/>
        </w:rPr>
      </w:r>
    </w:p>
    <w:p>
      <w:pPr>
        <w:pStyle w:val="737"/>
        <w:pBdr/>
        <w:spacing/>
        <w:ind w:firstLine="640"/>
        <w:rPr>
          <w:color w:val="000000"/>
        </w:rPr>
      </w:pPr>
      <w:r>
        <w:rPr>
          <w:color w:val="000000"/>
        </w:rPr>
      </w:r>
      <w:r>
        <w:rPr>
          <w:color w:val="000000"/>
        </w:rPr>
      </w:r>
    </w:p>
    <w:p>
      <w:pPr>
        <w:pStyle w:val="737"/>
        <w:pBdr/>
        <w:spacing/>
        <w:ind w:firstLine="0"/>
        <w:rPr>
          <w:rFonts w:hint="eastAsia"/>
          <w:color w:val="000000"/>
        </w:rPr>
      </w:pPr>
      <w:r>
        <w:rPr>
          <w:rFonts w:hint="eastAsia"/>
          <w:color w:val="000000"/>
        </w:rPr>
      </w:r>
      <w:r>
        <w:rPr>
          <w:rFonts w:hint="eastAsia"/>
          <w:color w:val="000000"/>
        </w:rPr>
      </w:r>
    </w:p>
    <w:p>
      <w:pPr>
        <w:pStyle w:val="737"/>
        <w:pBdr/>
        <w:spacing/>
        <w:ind w:firstLine="640"/>
        <w:rPr>
          <w:rFonts w:hint="eastAsia"/>
        </w:rPr>
      </w:pPr>
      <w:r>
        <w:rPr>
          <w:rFonts w:hint="eastAsia"/>
        </w:rPr>
      </w:r>
      <w:r>
        <w:rPr>
          <w:rFonts w:hint="eastAsia"/>
        </w:rPr>
      </w:r>
    </w:p>
    <w:p>
      <w:pPr>
        <w:pStyle w:val="792"/>
        <w:pBdr/>
        <w:spacing/>
        <w:ind w:firstLine="480"/>
        <w:rPr>
          <w:color w:val="000000"/>
        </w:rPr>
      </w:pPr>
      <w:r>
        <w:rPr>
          <w:color w:val="000000"/>
        </w:rPr>
      </w:r>
      <w:r>
        <w:rPr>
          <w:color w:val="000000"/>
        </w:rPr>
      </w:r>
    </w:p>
    <w:p>
      <w:pPr>
        <w:pStyle w:val="737"/>
        <w:pBdr/>
        <w:spacing/>
        <w:ind w:firstLine="640"/>
        <w:rPr>
          <w:color w:val="000000"/>
        </w:rPr>
      </w:pPr>
      <w:r>
        <w:rPr>
          <w:color w:val="000000"/>
        </w:rPr>
      </w:r>
      <w:r>
        <w:rPr>
          <w:color w:val="000000"/>
        </w:rPr>
      </w:r>
    </w:p>
    <w:p>
      <w:pPr>
        <w:pStyle w:val="792"/>
        <w:pBdr/>
        <w:spacing/>
        <w:ind w:firstLine="480"/>
        <w:rPr>
          <w:color w:val="000000"/>
        </w:rPr>
      </w:pPr>
      <w:r>
        <w:rPr>
          <w:color w:val="000000"/>
        </w:rPr>
      </w:r>
      <w:r>
        <w:rPr>
          <w:color w:val="000000"/>
        </w:rPr>
      </w:r>
    </w:p>
    <w:p>
      <w:pPr>
        <w:pStyle w:val="737"/>
        <w:pBdr/>
        <w:spacing/>
        <w:ind w:firstLine="640"/>
        <w:rPr>
          <w:color w:val="000000"/>
        </w:rPr>
      </w:pPr>
      <w:r>
        <w:rPr>
          <w:color w:val="000000"/>
        </w:rPr>
      </w:r>
      <w:r>
        <w:rPr>
          <w:color w:val="000000"/>
        </w:rPr>
      </w:r>
    </w:p>
    <w:p>
      <w:pPr>
        <w:pStyle w:val="737"/>
        <w:pBdr/>
        <w:spacing/>
        <w:ind w:firstLine="0"/>
        <w:jc w:val="center"/>
        <w:rPr>
          <w:rFonts w:hint="eastAsia" w:ascii="楷体_GB2312" w:eastAsia="楷体_GB2312"/>
          <w:b/>
          <w:bCs/>
          <w:color w:val="000000"/>
        </w:rPr>
      </w:pPr>
      <w:r>
        <w:rPr>
          <w:rFonts w:hint="eastAsia" w:ascii="楷体_GB2312" w:hAnsi="楷体" w:eastAsia="楷体_GB2312" w:cs="楷体"/>
          <w:b/>
          <w:bCs/>
          <w:color w:val="000000"/>
        </w:rPr>
        <w:t xml:space="preserve">随州市“十四五”规划编制工作领导小组办公室</w:t>
      </w:r>
      <w:r>
        <w:rPr>
          <w:rFonts w:hint="eastAsia" w:ascii="楷体_GB2312" w:eastAsia="楷体_GB2312"/>
          <w:b/>
          <w:bCs/>
          <w:color w:val="000000"/>
        </w:rPr>
      </w:r>
      <w:r>
        <w:rPr>
          <w:rFonts w:hint="eastAsia" w:ascii="楷体_GB2312" w:eastAsia="楷体_GB2312"/>
          <w:b/>
          <w:bCs/>
          <w:color w:val="000000"/>
        </w:rPr>
      </w:r>
    </w:p>
    <w:p>
      <w:pPr>
        <w:pStyle w:val="737"/>
        <w:pBdr/>
        <w:spacing/>
        <w:ind w:firstLine="0"/>
        <w:jc w:val="center"/>
        <w:rPr>
          <w:rFonts w:hint="eastAsia" w:ascii="楷体_GB2312" w:hAnsi="楷体" w:eastAsia="楷体_GB2312" w:cs="楷体"/>
          <w:b/>
          <w:bCs/>
          <w:color w:val="000000"/>
        </w:rPr>
      </w:pPr>
      <w:r>
        <w:rPr>
          <w:rFonts w:hint="eastAsia" w:ascii="楷体_GB2312" w:hAnsi="楷体" w:eastAsia="楷体_GB2312" w:cs="楷体"/>
          <w:b/>
          <w:bCs/>
          <w:color w:val="000000"/>
        </w:rPr>
        <w:t xml:space="preserve">二</w:t>
      </w:r>
      <w:r>
        <w:rPr>
          <w:rFonts w:hint="eastAsia" w:ascii="楷体_GB2312" w:eastAsia="楷体_GB2312" w:cs="仿宋_GB2312"/>
          <w:b/>
          <w:bCs/>
          <w:color w:val="000000"/>
        </w:rPr>
        <w:t xml:space="preserve">○</w:t>
      </w:r>
      <w:r>
        <w:rPr>
          <w:rFonts w:hint="eastAsia" w:ascii="楷体_GB2312" w:hAnsi="楷体" w:eastAsia="楷体_GB2312" w:cs="楷体"/>
          <w:b/>
          <w:bCs/>
          <w:color w:val="000000"/>
        </w:rPr>
        <w:t xml:space="preserve">二</w:t>
      </w:r>
      <w:r>
        <w:rPr>
          <w:rFonts w:hint="eastAsia" w:ascii="楷体_GB2312" w:hAnsi="楷体" w:eastAsia="楷体_GB2312" w:cs="楷体"/>
          <w:b/>
          <w:bCs/>
          <w:color w:val="000000"/>
          <w:lang w:eastAsia="zh-CN"/>
        </w:rPr>
        <w:t xml:space="preserve">一</w:t>
      </w:r>
      <w:r>
        <w:rPr>
          <w:rFonts w:hint="eastAsia" w:ascii="楷体_GB2312" w:hAnsi="楷体" w:eastAsia="楷体_GB2312" w:cs="楷体"/>
          <w:b/>
          <w:bCs/>
          <w:color w:val="000000"/>
        </w:rPr>
        <w:t xml:space="preserve">年</w:t>
      </w:r>
      <w:r>
        <w:rPr>
          <w:rFonts w:hint="eastAsia" w:ascii="楷体_GB2312" w:hAnsi="楷体" w:eastAsia="楷体_GB2312" w:cs="楷体"/>
          <w:b/>
          <w:bCs/>
          <w:color w:val="000000"/>
          <w:lang w:eastAsia="zh-CN"/>
        </w:rPr>
        <w:t xml:space="preserve">七</w:t>
      </w:r>
      <w:r>
        <w:rPr>
          <w:rFonts w:hint="eastAsia" w:ascii="楷体_GB2312" w:hAnsi="楷体" w:eastAsia="楷体_GB2312" w:cs="楷体"/>
          <w:b/>
          <w:bCs/>
          <w:color w:val="000000"/>
        </w:rPr>
        <w:t xml:space="preserve">月</w:t>
      </w:r>
      <w:r>
        <w:rPr>
          <w:rFonts w:hint="eastAsia" w:ascii="楷体_GB2312" w:hAnsi="楷体" w:eastAsia="楷体_GB2312" w:cs="楷体"/>
          <w:b/>
          <w:bCs/>
          <w:color w:val="000000"/>
        </w:rPr>
      </w:r>
      <w:r>
        <w:rPr>
          <w:rFonts w:hint="eastAsia" w:ascii="楷体_GB2312" w:hAnsi="楷体" w:eastAsia="楷体_GB2312" w:cs="楷体"/>
          <w:b/>
          <w:bCs/>
          <w:color w:val="000000"/>
        </w:rPr>
      </w:r>
    </w:p>
    <w:p>
      <w:pPr>
        <w:pStyle w:val="745"/>
        <w:pBdr/>
        <w:spacing/>
        <w:ind w:firstLine="640" w:left="640"/>
        <w:rPr>
          <w:rFonts w:hint="eastAsia"/>
        </w:rPr>
      </w:pPr>
      <w:r>
        <w:rPr>
          <w:rFonts w:hint="eastAsia"/>
        </w:rPr>
      </w:r>
      <w:r>
        <w:rPr>
          <w:rFonts w:hint="eastAsia"/>
        </w:rPr>
      </w:r>
    </w:p>
    <w:p>
      <w:pPr>
        <w:pStyle w:val="792"/>
        <w:pBdr/>
        <w:spacing/>
        <w:ind w:firstLine="480" w:left="640"/>
        <w:rPr>
          <w:color w:val="000000"/>
        </w:rPr>
        <w:sectPr>
          <w:headerReference w:type="default" r:id="rId8"/>
          <w:headerReference w:type="even" r:id="rId9"/>
          <w:headerReference w:type="first" r:id="rId10"/>
          <w:footerReference w:type="default" r:id="rId11"/>
          <w:footerReference w:type="even" r:id="rId12"/>
          <w:footerReference w:type="first" r:id="rId13"/>
          <w:footnotePr/>
          <w:endnotePr/>
          <w:type w:val="nextPage"/>
          <w:pgSz w:h="16838" w:orient="landscape" w:w="11906"/>
          <w:pgMar w:top="2098" w:right="1474" w:bottom="1985" w:left="1588" w:header="851" w:footer="992" w:gutter="0"/>
          <w:cols w:num="1" w:sep="0" w:space="1701" w:equalWidth="1"/>
          <w:titlePg/>
        </w:sectPr>
      </w:pPr>
      <w:r>
        <w:rPr>
          <w:color w:val="000000"/>
        </w:rPr>
      </w:r>
      <w:r>
        <w:rPr>
          <w:color w:val="000000"/>
        </w:rPr>
      </w:r>
    </w:p>
    <w:p>
      <w:pPr>
        <w:pStyle w:val="792"/>
        <w:pBdr/>
        <w:spacing/>
        <w:ind w:firstLine="0"/>
        <w:jc w:val="center"/>
        <w:rPr>
          <w:rFonts w:ascii="方正小标宋简体" w:hAnsi="方正小标宋简体" w:eastAsia="方正小标宋简体" w:cs="方正小标宋简体"/>
          <w:color w:val="000000"/>
          <w:sz w:val="36"/>
          <w:szCs w:val="36"/>
        </w:rPr>
      </w:pPr>
      <w:r/>
      <w:bookmarkStart w:id="2" w:name="_Hlk54804920"/>
      <w:r>
        <w:rPr>
          <w:rFonts w:hint="eastAsia" w:ascii="方正小标宋简体" w:hAnsi="方正小标宋简体" w:eastAsia="方正小标宋简体" w:cs="方正小标宋简体"/>
          <w:color w:val="000000"/>
          <w:sz w:val="36"/>
          <w:szCs w:val="36"/>
        </w:rPr>
        <w:t xml:space="preserve">目 录</w:t>
      </w:r>
      <w:r>
        <w:rPr>
          <w:rFonts w:ascii="方正小标宋简体" w:hAnsi="方正小标宋简体" w:eastAsia="方正小标宋简体" w:cs="方正小标宋简体"/>
          <w:color w:val="000000"/>
          <w:sz w:val="36"/>
          <w:szCs w:val="36"/>
        </w:rPr>
      </w:r>
      <w:r>
        <w:rPr>
          <w:rFonts w:ascii="方正小标宋简体" w:hAnsi="方正小标宋简体" w:eastAsia="方正小标宋简体" w:cs="方正小标宋简体"/>
          <w:color w:val="000000"/>
          <w:sz w:val="36"/>
          <w:szCs w:val="36"/>
        </w:rPr>
      </w:r>
    </w:p>
    <w:p>
      <w:pPr>
        <w:pStyle w:val="766"/>
        <w:pBdr/>
        <w:tabs>
          <w:tab w:val="right" w:leader="dot" w:pos="8844"/>
        </w:tabs>
        <w:spacing/>
        <w:ind/>
        <w:rPr>
          <w:rFonts w:hint="eastAsia" w:ascii="楷体_GB2312" w:hAnsi="楷体_GB2312" w:eastAsia="楷体_GB2312" w:cs="楷体_GB2312"/>
          <w:sz w:val="28"/>
          <w:szCs w:val="28"/>
        </w:rPr>
      </w:pPr>
      <w:r/>
      <w:bookmarkEnd w:id="0"/>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color w:val="000000"/>
          <w:sz w:val="28"/>
          <w:szCs w:val="28"/>
        </w:rPr>
        <w:instrText xml:space="preserve"> TOC \o "2-2" \h \z \t "标题 1,1" </w:instrText>
      </w:r>
      <w:r>
        <w:rPr>
          <w:rFonts w:hint="eastAsia" w:ascii="楷体_GB2312" w:hAnsi="楷体_GB2312" w:eastAsia="楷体_GB2312" w:cs="楷体_GB2312"/>
          <w:color w:val="000000"/>
          <w:sz w:val="28"/>
          <w:szCs w:val="28"/>
        </w:rPr>
        <w:fldChar w:fldCharType="separate"/>
      </w: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_Toc108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序 言</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_Toc108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6"/>
        <w:pBdr/>
        <w:tabs>
          <w:tab w:val="right" w:leader="dot" w:pos="8844"/>
        </w:tabs>
        <w:spacing/>
        <w:ind/>
        <w:rPr>
          <w:rFonts w:hint="eastAsia" w:ascii="楷体_GB2312" w:hAnsi="楷体_GB2312" w:eastAsia="楷体_GB2312" w:cs="楷体_GB2312"/>
          <w:sz w:val="28"/>
          <w:szCs w:val="28"/>
        </w:rPr>
      </w:pPr>
      <w:r>
        <w:rPr>
          <w:rFonts w:hint="eastAsia" w:ascii="黑体" w:hAnsi="黑体" w:cs="黑体"/>
          <w:b w:val="0"/>
          <w:bCs w:val="0"/>
          <w:color w:val="000000"/>
          <w:sz w:val="28"/>
          <w:szCs w:val="28"/>
        </w:rPr>
        <w:fldChar w:fldCharType="begin"/>
      </w:r>
      <w:r>
        <w:rPr>
          <w:rFonts w:hint="eastAsia" w:ascii="黑体" w:hAnsi="黑体" w:cs="黑体"/>
          <w:b w:val="0"/>
          <w:bCs w:val="0"/>
          <w:sz w:val="28"/>
          <w:szCs w:val="28"/>
        </w:rPr>
        <w:instrText xml:space="preserve"> HYPERLINK \l _Toc18187 </w:instrText>
      </w:r>
      <w:r>
        <w:rPr>
          <w:rFonts w:hint="eastAsia" w:ascii="黑体" w:hAnsi="黑体" w:cs="黑体"/>
          <w:b w:val="0"/>
          <w:bCs w:val="0"/>
          <w:sz w:val="28"/>
          <w:szCs w:val="28"/>
        </w:rPr>
        <w:fldChar w:fldCharType="separate"/>
      </w:r>
      <w:r>
        <w:rPr>
          <w:rFonts w:hint="eastAsia" w:ascii="黑体" w:hAnsi="黑体" w:cs="黑体"/>
          <w:b w:val="0"/>
          <w:bCs w:val="0"/>
          <w:sz w:val="28"/>
          <w:szCs w:val="28"/>
        </w:rPr>
        <w:t xml:space="preserve">第一章 全面建成小康社会</w:t>
      </w:r>
      <w:r>
        <w:rPr>
          <w:rFonts w:hint="eastAsia" w:ascii="黑体" w:hAnsi="黑体" w:cs="黑体"/>
          <w:b w:val="0"/>
          <w:bCs w:val="0"/>
          <w:color w:val="000000"/>
          <w:sz w:val="28"/>
          <w:szCs w:val="28"/>
        </w:rPr>
        <w:fldChar w:fldCharType="end"/>
      </w:r>
      <w:r>
        <w:rPr>
          <w:rFonts w:hint="eastAsia" w:ascii="楷体_GB2312" w:hAnsi="楷体_GB2312" w:eastAsia="楷体_GB2312" w:cs="楷体_GB2312"/>
          <w:color w:val="000000"/>
          <w:sz w:val="28"/>
          <w:szCs w:val="28"/>
          <w:lang w:val="en-US"/>
        </w:rPr>
        <w:t xml:space="preserve">  </w:t>
      </w: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_Toc25144 </w:instrText>
      </w:r>
      <w:r>
        <w:rPr>
          <w:rFonts w:hint="eastAsia" w:ascii="楷体_GB2312" w:hAnsi="楷体_GB2312" w:eastAsia="楷体_GB2312" w:cs="楷体_GB2312"/>
          <w:sz w:val="28"/>
          <w:szCs w:val="28"/>
        </w:rPr>
        <w:fldChar w:fldCharType="separate"/>
      </w:r>
      <w:r>
        <w:rPr>
          <w:rFonts w:hint="eastAsia" w:ascii="黑体" w:hAnsi="黑体" w:cs="黑体"/>
          <w:b w:val="0"/>
          <w:bCs w:val="0"/>
          <w:sz w:val="28"/>
          <w:szCs w:val="28"/>
        </w:rPr>
        <w:t xml:space="preserve">开启全面建设社会主义现代化新征程</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_Toc25144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2</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_Toc26826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一、发展基础</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_Toc26826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2</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_Toc7480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二、发展环境</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_Toc7480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10</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_Toc30258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三、指导思想</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_Toc30258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11</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_Toc23654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四、基本原则</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_Toc23654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12</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_Toc6800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五、发展目标</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_Toc6800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13</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6"/>
        <w:pBdr/>
        <w:tabs>
          <w:tab w:val="right" w:leader="dot" w:pos="8844"/>
        </w:tabs>
        <w:spacing/>
        <w:ind/>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_Toc303 </w:instrText>
      </w:r>
      <w:r>
        <w:rPr>
          <w:rFonts w:hint="eastAsia" w:ascii="楷体_GB2312" w:hAnsi="楷体_GB2312" w:eastAsia="楷体_GB2312" w:cs="楷体_GB2312"/>
          <w:sz w:val="28"/>
          <w:szCs w:val="28"/>
        </w:rPr>
        <w:fldChar w:fldCharType="separate"/>
      </w:r>
      <w:r>
        <w:rPr>
          <w:rFonts w:hint="eastAsia" w:ascii="黑体" w:hAnsi="黑体" w:cs="黑体"/>
          <w:b w:val="0"/>
          <w:bCs w:val="0"/>
          <w:sz w:val="28"/>
          <w:szCs w:val="28"/>
        </w:rPr>
        <w:t xml:space="preserve">第二章 坚持创新驱动发展 </w:t>
      </w:r>
      <w:r>
        <w:rPr>
          <w:rFonts w:hint="eastAsia" w:ascii="黑体" w:hAnsi="黑体" w:cs="黑体"/>
          <w:b w:val="0"/>
          <w:bCs w:val="0"/>
          <w:sz w:val="28"/>
          <w:szCs w:val="28"/>
          <w:lang w:val="en-US" w:eastAsia="zh-CN"/>
        </w:rPr>
        <w:t xml:space="preserve"> </w:t>
      </w:r>
      <w:r>
        <w:rPr>
          <w:rFonts w:hint="eastAsia" w:ascii="黑体" w:hAnsi="黑体" w:cs="黑体"/>
          <w:b w:val="0"/>
          <w:bCs w:val="0"/>
          <w:sz w:val="28"/>
          <w:szCs w:val="28"/>
        </w:rPr>
        <w:t xml:space="preserve">建设创新型城市</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_Toc303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18</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_Toc20395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一、提升企业主体创新能力</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_Toc20395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18</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_Toc27682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二、强化科技创新平台建设</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_Toc27682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19</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_Toc4652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三、加强创新人才队伍建设</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_Toc4652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21</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_Toc13361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四、优化科技创新体制机制</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_Toc13361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22</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6"/>
        <w:pBdr/>
        <w:tabs>
          <w:tab w:val="right" w:leader="dot" w:pos="8844"/>
        </w:tabs>
        <w:spacing/>
        <w:ind/>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_Toc15974 </w:instrText>
      </w:r>
      <w:r>
        <w:rPr>
          <w:rFonts w:hint="eastAsia" w:ascii="楷体_GB2312" w:hAnsi="楷体_GB2312" w:eastAsia="楷体_GB2312" w:cs="楷体_GB2312"/>
          <w:sz w:val="28"/>
          <w:szCs w:val="28"/>
        </w:rPr>
        <w:fldChar w:fldCharType="separate"/>
      </w:r>
      <w:r>
        <w:rPr>
          <w:rFonts w:hint="eastAsia" w:ascii="黑体" w:hAnsi="黑体" w:cs="黑体"/>
          <w:b w:val="0"/>
          <w:bCs w:val="0"/>
          <w:sz w:val="28"/>
          <w:szCs w:val="28"/>
        </w:rPr>
        <w:t xml:space="preserve">第三章 完善现代产业体系</w:t>
      </w:r>
      <w:r>
        <w:rPr>
          <w:rFonts w:hint="eastAsia" w:ascii="黑体" w:hAnsi="黑体" w:cs="黑体"/>
          <w:b w:val="0"/>
          <w:bCs w:val="0"/>
          <w:sz w:val="28"/>
          <w:szCs w:val="28"/>
          <w:lang w:val="en-US"/>
        </w:rPr>
        <w:t xml:space="preserve">  </w:t>
      </w:r>
      <w:r>
        <w:rPr>
          <w:rFonts w:hint="eastAsia" w:ascii="黑体" w:hAnsi="黑体" w:cs="黑体"/>
          <w:b w:val="0"/>
          <w:bCs w:val="0"/>
          <w:sz w:val="28"/>
          <w:szCs w:val="28"/>
        </w:rPr>
        <w:t xml:space="preserve">打造全省特色增长极</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_Toc15974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24</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_Toc2278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一、突破发展特色优势产业</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_Toc2278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24</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_Toc60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二、集聚发展高成长性产业</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_Toc60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38</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_Toc7982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三、壮大发展新兴产业</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_Toc7982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40</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_Toc22313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四、转型发展传统产业</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_Toc22313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42</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_Toc17845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五、提质发展现代服务业</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_Toc17845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44</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6"/>
        <w:pBdr/>
        <w:tabs>
          <w:tab w:val="right" w:leader="dot" w:pos="8844"/>
        </w:tabs>
        <w:spacing/>
        <w:ind/>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_Toc30662 </w:instrText>
      </w:r>
      <w:r>
        <w:rPr>
          <w:rFonts w:hint="eastAsia" w:ascii="楷体_GB2312" w:hAnsi="楷体_GB2312" w:eastAsia="楷体_GB2312" w:cs="楷体_GB2312"/>
          <w:sz w:val="28"/>
          <w:szCs w:val="28"/>
        </w:rPr>
        <w:fldChar w:fldCharType="separate"/>
      </w:r>
      <w:r>
        <w:rPr>
          <w:rFonts w:hint="eastAsia" w:ascii="黑体" w:hAnsi="黑体" w:cs="黑体"/>
          <w:b w:val="0"/>
          <w:bCs w:val="0"/>
          <w:sz w:val="28"/>
          <w:szCs w:val="28"/>
        </w:rPr>
        <w:t xml:space="preserve">第四章 积极融入新发展格局</w:t>
      </w:r>
      <w:r>
        <w:rPr>
          <w:rFonts w:hint="eastAsia" w:ascii="黑体" w:hAnsi="黑体" w:cs="黑体"/>
          <w:b w:val="0"/>
          <w:bCs w:val="0"/>
          <w:sz w:val="28"/>
          <w:szCs w:val="28"/>
          <w:lang w:val="en-US"/>
        </w:rPr>
        <w:t xml:space="preserve">  </w:t>
      </w:r>
      <w:r>
        <w:rPr>
          <w:rFonts w:hint="eastAsia" w:ascii="黑体" w:hAnsi="黑体" w:cs="黑体"/>
          <w:b w:val="0"/>
          <w:bCs w:val="0"/>
          <w:sz w:val="28"/>
          <w:szCs w:val="28"/>
        </w:rPr>
        <w:t xml:space="preserve">提升开放型经济水平</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_Toc30662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48</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_Toc25830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一、促进高水平的供需动态平衡</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_Toc25830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48</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_Toc24125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二、建设现代流通体系</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_Toc24125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51</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_Toc4097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三、全面提高开放水平</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_Toc4097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52</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6"/>
        <w:pBdr/>
        <w:tabs>
          <w:tab w:val="right" w:leader="dot" w:pos="8844"/>
        </w:tabs>
        <w:spacing/>
        <w:ind/>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_Toc16775 </w:instrText>
      </w:r>
      <w:r>
        <w:rPr>
          <w:rFonts w:hint="eastAsia" w:ascii="楷体_GB2312" w:hAnsi="楷体_GB2312" w:eastAsia="楷体_GB2312" w:cs="楷体_GB2312"/>
          <w:sz w:val="28"/>
          <w:szCs w:val="28"/>
        </w:rPr>
        <w:fldChar w:fldCharType="separate"/>
      </w:r>
      <w:r>
        <w:rPr>
          <w:rFonts w:hint="eastAsia" w:ascii="黑体" w:hAnsi="黑体" w:cs="黑体"/>
          <w:b w:val="0"/>
          <w:bCs w:val="0"/>
          <w:sz w:val="28"/>
          <w:szCs w:val="28"/>
        </w:rPr>
        <w:t xml:space="preserve">第五章 大力发展数字经济</w:t>
      </w:r>
      <w:r>
        <w:rPr>
          <w:rFonts w:hint="eastAsia" w:ascii="黑体" w:hAnsi="黑体" w:cs="黑体"/>
          <w:b w:val="0"/>
          <w:bCs w:val="0"/>
          <w:sz w:val="28"/>
          <w:szCs w:val="28"/>
          <w:lang w:val="en-US"/>
        </w:rPr>
        <w:t xml:space="preserve">  </w:t>
      </w:r>
      <w:r>
        <w:rPr>
          <w:rFonts w:hint="eastAsia" w:ascii="黑体" w:hAnsi="黑体" w:cs="黑体"/>
          <w:b w:val="0"/>
          <w:bCs w:val="0"/>
          <w:sz w:val="28"/>
          <w:szCs w:val="28"/>
        </w:rPr>
        <w:t xml:space="preserve">建设数字随州</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_Toc16775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54</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_Toc14323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一、积极培育壮大数字经济</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_Toc14323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54</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_Toc21864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二、加快数字社会建设步伐</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_Toc21864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55</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_Toc21965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三、提高数字政府建设水平</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_Toc21965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57</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6"/>
        <w:pBdr/>
        <w:tabs>
          <w:tab w:val="right" w:leader="dot" w:pos="8844"/>
        </w:tabs>
        <w:spacing/>
        <w:ind/>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_Toc31111 </w:instrText>
      </w:r>
      <w:r>
        <w:rPr>
          <w:rFonts w:hint="eastAsia" w:ascii="楷体_GB2312" w:hAnsi="楷体_GB2312" w:eastAsia="楷体_GB2312" w:cs="楷体_GB2312"/>
          <w:sz w:val="28"/>
          <w:szCs w:val="28"/>
        </w:rPr>
        <w:fldChar w:fldCharType="separate"/>
      </w:r>
      <w:r>
        <w:rPr>
          <w:rFonts w:hint="eastAsia" w:ascii="黑体" w:hAnsi="黑体" w:cs="黑体"/>
          <w:b w:val="0"/>
          <w:bCs w:val="0"/>
          <w:sz w:val="28"/>
          <w:szCs w:val="28"/>
        </w:rPr>
        <w:t xml:space="preserve">第六章 承接区域发展布局</w:t>
      </w:r>
      <w:r>
        <w:rPr>
          <w:rFonts w:hint="eastAsia" w:ascii="黑体" w:hAnsi="黑体" w:cs="黑体"/>
          <w:b w:val="0"/>
          <w:bCs w:val="0"/>
          <w:sz w:val="28"/>
          <w:szCs w:val="28"/>
          <w:lang w:val="en-US"/>
        </w:rPr>
        <w:t xml:space="preserve">  </w:t>
      </w:r>
      <w:r>
        <w:rPr>
          <w:rFonts w:hint="eastAsia" w:ascii="黑体" w:hAnsi="黑体" w:cs="黑体"/>
          <w:b w:val="0"/>
          <w:bCs w:val="0"/>
          <w:sz w:val="28"/>
          <w:szCs w:val="28"/>
        </w:rPr>
        <w:t xml:space="preserve">打造“汉襄肱骨”</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_Toc31111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58</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_Toc21002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一、建成“桥接汉襄”关键支撑</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_Toc21002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58</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_Toc9755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二、打造“融通鄂豫”重要枢纽</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_Toc9755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59</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_Toc22287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三、构筑“众星拱月”发展矩阵</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_Toc22287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61</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6"/>
        <w:pBdr/>
        <w:tabs>
          <w:tab w:val="right" w:leader="dot" w:pos="8844"/>
        </w:tabs>
        <w:spacing/>
        <w:ind/>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_Toc10993 </w:instrText>
      </w:r>
      <w:r>
        <w:rPr>
          <w:rFonts w:hint="eastAsia" w:ascii="楷体_GB2312" w:hAnsi="楷体_GB2312" w:eastAsia="楷体_GB2312" w:cs="楷体_GB2312"/>
          <w:sz w:val="28"/>
          <w:szCs w:val="28"/>
        </w:rPr>
        <w:fldChar w:fldCharType="separate"/>
      </w:r>
      <w:r>
        <w:rPr>
          <w:rFonts w:hint="eastAsia" w:ascii="黑体" w:hAnsi="黑体" w:cs="黑体"/>
          <w:b w:val="0"/>
          <w:bCs w:val="0"/>
          <w:sz w:val="28"/>
          <w:szCs w:val="28"/>
        </w:rPr>
        <w:t xml:space="preserve">第七章 提高</w:t>
      </w:r>
      <w:r>
        <w:rPr>
          <w:rFonts w:hint="eastAsia" w:ascii="黑体" w:hAnsi="黑体" w:cs="黑体"/>
          <w:b w:val="0"/>
          <w:bCs w:val="0"/>
          <w:sz w:val="28"/>
          <w:szCs w:val="28"/>
          <w:lang w:val="en-US"/>
        </w:rPr>
        <w:t xml:space="preserve">新型城镇化品质  建设“神韵随州”</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_Toc10993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64</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_Toc28798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一、优化中心城区功能</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_Toc28798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64</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_Toc15339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二、提升城市建设品质</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_Toc15339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66</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_Toc9816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三、推进以人为核心的新型城镇化</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_Toc9816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68</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6"/>
        <w:pBdr/>
        <w:tabs>
          <w:tab w:val="right" w:leader="dot" w:pos="8844"/>
        </w:tabs>
        <w:spacing/>
        <w:ind/>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_Toc24098 </w:instrText>
      </w:r>
      <w:r>
        <w:rPr>
          <w:rFonts w:hint="eastAsia" w:ascii="楷体_GB2312" w:hAnsi="楷体_GB2312" w:eastAsia="楷体_GB2312" w:cs="楷体_GB2312"/>
          <w:sz w:val="28"/>
          <w:szCs w:val="28"/>
        </w:rPr>
        <w:fldChar w:fldCharType="separate"/>
      </w:r>
      <w:r>
        <w:rPr>
          <w:rFonts w:hint="eastAsia" w:ascii="黑体" w:hAnsi="黑体" w:cs="黑体"/>
          <w:b w:val="0"/>
          <w:bCs w:val="0"/>
          <w:sz w:val="28"/>
          <w:szCs w:val="28"/>
        </w:rPr>
        <w:t xml:space="preserve">第八章 实施乡村振兴战略</w:t>
      </w:r>
      <w:r>
        <w:rPr>
          <w:rFonts w:hint="eastAsia" w:ascii="黑体" w:hAnsi="黑体" w:cs="黑体"/>
          <w:b w:val="0"/>
          <w:bCs w:val="0"/>
          <w:sz w:val="28"/>
          <w:szCs w:val="28"/>
          <w:lang w:val="en-US"/>
        </w:rPr>
        <w:t xml:space="preserve">  </w:t>
      </w:r>
      <w:r>
        <w:rPr>
          <w:rFonts w:hint="eastAsia" w:ascii="黑体" w:hAnsi="黑体" w:cs="黑体"/>
          <w:b w:val="0"/>
          <w:bCs w:val="0"/>
          <w:sz w:val="28"/>
          <w:szCs w:val="28"/>
        </w:rPr>
        <w:t xml:space="preserve">推进农业农村现代化</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_Toc24098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70</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_Toc31237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一、大力推进农业现代化</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_Toc31237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70</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_Toc9029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二、加快推进城乡融合发展</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_Toc9029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76</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_Toc7350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三、实现巩固拓展脱贫攻坚成果同乡村振兴有效衔接</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_Toc7350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78</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6"/>
        <w:pBdr/>
        <w:tabs>
          <w:tab w:val="right" w:leader="dot" w:pos="8844"/>
        </w:tabs>
        <w:spacing/>
        <w:ind/>
        <w:rPr>
          <w:rFonts w:hint="eastAsia" w:ascii="楷体_GB2312" w:hAnsi="楷体_GB2312" w:eastAsia="楷体_GB2312" w:cs="楷体_GB2312"/>
          <w:sz w:val="28"/>
          <w:szCs w:val="28"/>
        </w:rPr>
      </w:pPr>
      <w:r>
        <w:rPr>
          <w:rFonts w:hint="eastAsia" w:ascii="黑体" w:hAnsi="黑体" w:cs="黑体"/>
          <w:b w:val="0"/>
          <w:bCs w:val="0"/>
          <w:color w:val="000000"/>
          <w:sz w:val="28"/>
          <w:szCs w:val="28"/>
        </w:rPr>
        <w:fldChar w:fldCharType="begin"/>
      </w:r>
      <w:r>
        <w:rPr>
          <w:rFonts w:hint="eastAsia" w:ascii="黑体" w:hAnsi="黑体" w:cs="黑体"/>
          <w:b w:val="0"/>
          <w:bCs w:val="0"/>
          <w:sz w:val="28"/>
          <w:szCs w:val="28"/>
        </w:rPr>
        <w:instrText xml:space="preserve"> HYPERLINK \l _Toc19712 </w:instrText>
      </w:r>
      <w:r>
        <w:rPr>
          <w:rFonts w:hint="eastAsia" w:ascii="黑体" w:hAnsi="黑体" w:cs="黑体"/>
          <w:b w:val="0"/>
          <w:bCs w:val="0"/>
          <w:sz w:val="28"/>
          <w:szCs w:val="28"/>
        </w:rPr>
        <w:fldChar w:fldCharType="separate"/>
      </w:r>
      <w:r>
        <w:rPr>
          <w:rFonts w:hint="eastAsia" w:ascii="黑体" w:hAnsi="黑体" w:cs="黑体"/>
          <w:b w:val="0"/>
          <w:bCs w:val="0"/>
          <w:sz w:val="28"/>
          <w:szCs w:val="28"/>
        </w:rPr>
        <w:t xml:space="preserve">第九章 推动更高质量改革</w:t>
      </w:r>
      <w:r>
        <w:rPr>
          <w:rFonts w:hint="eastAsia" w:ascii="黑体" w:hAnsi="黑体" w:cs="黑体"/>
          <w:b w:val="0"/>
          <w:bCs w:val="0"/>
          <w:color w:val="000000"/>
          <w:sz w:val="28"/>
          <w:szCs w:val="28"/>
        </w:rPr>
        <w:fldChar w:fldCharType="end"/>
      </w:r>
      <w:r>
        <w:rPr>
          <w:rFonts w:hint="eastAsia" w:ascii="黑体" w:hAnsi="黑体" w:cs="黑体"/>
          <w:b w:val="0"/>
          <w:bCs w:val="0"/>
          <w:color w:val="000000"/>
          <w:sz w:val="28"/>
          <w:szCs w:val="28"/>
          <w:lang w:val="en-US"/>
        </w:rPr>
        <w:t xml:space="preserve">  </w:t>
      </w:r>
      <w:r>
        <w:rPr>
          <w:rFonts w:hint="eastAsia" w:ascii="黑体" w:hAnsi="黑体" w:cs="黑体"/>
          <w:b w:val="0"/>
          <w:bCs w:val="0"/>
          <w:color w:val="000000"/>
          <w:sz w:val="28"/>
          <w:szCs w:val="28"/>
        </w:rPr>
        <w:fldChar w:fldCharType="begin"/>
      </w:r>
      <w:r>
        <w:rPr>
          <w:rFonts w:hint="eastAsia" w:ascii="黑体" w:hAnsi="黑体" w:cs="黑体"/>
          <w:b w:val="0"/>
          <w:bCs w:val="0"/>
          <w:sz w:val="28"/>
          <w:szCs w:val="28"/>
        </w:rPr>
        <w:instrText xml:space="preserve"> HYPERLINK \l _Toc12735 </w:instrText>
      </w:r>
      <w:r>
        <w:rPr>
          <w:rFonts w:hint="eastAsia" w:ascii="黑体" w:hAnsi="黑体" w:cs="黑体"/>
          <w:b w:val="0"/>
          <w:bCs w:val="0"/>
          <w:sz w:val="28"/>
          <w:szCs w:val="28"/>
        </w:rPr>
        <w:fldChar w:fldCharType="separate"/>
      </w:r>
      <w:r>
        <w:rPr>
          <w:rFonts w:hint="eastAsia" w:ascii="黑体" w:hAnsi="黑体" w:cs="黑体"/>
          <w:b w:val="0"/>
          <w:bCs w:val="0"/>
          <w:sz w:val="28"/>
          <w:szCs w:val="28"/>
        </w:rPr>
        <w:t xml:space="preserve">构建高水平社会主义市场经济体制</w:t>
      </w:r>
      <w:r>
        <w:rPr>
          <w:rFonts w:hint="eastAsia" w:ascii="黑体" w:hAnsi="黑体" w:cs="黑体"/>
          <w:b w:val="0"/>
          <w:bCs w:val="0"/>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_Toc12735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81</w:t>
      </w:r>
      <w:r>
        <w:rPr>
          <w:rFonts w:hint="eastAsia" w:ascii="楷体_GB2312" w:hAnsi="楷体_GB2312" w:eastAsia="楷体_GB2312" w:cs="楷体_GB2312"/>
          <w:sz w:val="28"/>
          <w:szCs w:val="28"/>
        </w:rPr>
        <w:fldChar w:fldCharType="end"/>
      </w:r>
      <w:r>
        <w:rPr>
          <w:rFonts w:hint="eastAsia" w:ascii="黑体" w:hAnsi="黑体" w:cs="黑体"/>
          <w:b w:val="0"/>
          <w:bCs w:val="0"/>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_Toc94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一、激发市场主体活力</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_Toc94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81</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_Toc17626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二、持续优化营商环境</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_Toc17626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82</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_Toc12685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三、深化要素市场改革</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_Toc12685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83</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6"/>
        <w:pBdr/>
        <w:tabs>
          <w:tab w:val="right" w:leader="dot" w:pos="8844"/>
        </w:tabs>
        <w:spacing/>
        <w:ind/>
        <w:rPr>
          <w:rFonts w:hint="eastAsia" w:ascii="楷体_GB2312" w:hAnsi="楷体_GB2312" w:eastAsia="楷体_GB2312" w:cs="楷体_GB2312"/>
          <w:sz w:val="28"/>
          <w:szCs w:val="28"/>
        </w:rPr>
      </w:pPr>
      <w:r>
        <w:rPr>
          <w:rFonts w:hint="eastAsia" w:ascii="黑体" w:hAnsi="黑体" w:cs="黑体"/>
          <w:b w:val="0"/>
          <w:bCs w:val="0"/>
          <w:color w:val="000000"/>
          <w:sz w:val="28"/>
          <w:szCs w:val="28"/>
        </w:rPr>
        <w:fldChar w:fldCharType="begin"/>
      </w:r>
      <w:r>
        <w:rPr>
          <w:rFonts w:hint="eastAsia" w:ascii="黑体" w:hAnsi="黑体" w:cs="黑体"/>
          <w:b w:val="0"/>
          <w:bCs w:val="0"/>
          <w:sz w:val="28"/>
          <w:szCs w:val="28"/>
        </w:rPr>
        <w:instrText xml:space="preserve"> HYPERLINK \l _Toc7028 </w:instrText>
      </w:r>
      <w:r>
        <w:rPr>
          <w:rFonts w:hint="eastAsia" w:ascii="黑体" w:hAnsi="黑体" w:cs="黑体"/>
          <w:b w:val="0"/>
          <w:bCs w:val="0"/>
          <w:sz w:val="28"/>
          <w:szCs w:val="28"/>
        </w:rPr>
        <w:fldChar w:fldCharType="separate"/>
      </w:r>
      <w:r>
        <w:rPr>
          <w:rFonts w:hint="eastAsia" w:ascii="黑体" w:hAnsi="黑体" w:cs="黑体"/>
          <w:b w:val="0"/>
          <w:bCs w:val="0"/>
          <w:sz w:val="28"/>
          <w:szCs w:val="28"/>
        </w:rPr>
        <w:t xml:space="preserve">第十章 统筹新基建和传统基建发展</w:t>
      </w:r>
      <w:r>
        <w:rPr>
          <w:rFonts w:hint="eastAsia" w:ascii="黑体" w:hAnsi="黑体" w:cs="黑体"/>
          <w:b w:val="0"/>
          <w:bCs w:val="0"/>
          <w:color w:val="000000"/>
          <w:sz w:val="28"/>
          <w:szCs w:val="28"/>
        </w:rPr>
        <w:fldChar w:fldCharType="end"/>
      </w:r>
      <w:r>
        <w:rPr>
          <w:rFonts w:hint="eastAsia" w:ascii="楷体_GB2312" w:hAnsi="楷体_GB2312" w:eastAsia="楷体_GB2312" w:cs="楷体_GB2312"/>
          <w:color w:val="000000"/>
          <w:sz w:val="28"/>
          <w:szCs w:val="28"/>
          <w:lang w:val="en-US"/>
        </w:rPr>
        <w:t xml:space="preserve">  </w:t>
      </w: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_Toc29290 </w:instrText>
      </w:r>
      <w:r>
        <w:rPr>
          <w:rFonts w:hint="eastAsia" w:ascii="楷体_GB2312" w:hAnsi="楷体_GB2312" w:eastAsia="楷体_GB2312" w:cs="楷体_GB2312"/>
          <w:sz w:val="28"/>
          <w:szCs w:val="28"/>
        </w:rPr>
        <w:fldChar w:fldCharType="separate"/>
      </w:r>
      <w:r>
        <w:rPr>
          <w:rFonts w:hint="eastAsia" w:ascii="黑体" w:hAnsi="黑体" w:cs="黑体"/>
          <w:b w:val="0"/>
          <w:bCs w:val="0"/>
          <w:sz w:val="28"/>
          <w:szCs w:val="28"/>
        </w:rPr>
        <w:t xml:space="preserve">健全现代化基础设施体系</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_Toc29290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86</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_Toc374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一、建设区域性综合交通枢纽</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_Toc374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86</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_Toc25276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二、提高能源安全保障</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_Toc25276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88</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_Toc29982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三、完善水利设施网络</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_Toc29982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89</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_Toc14094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四、加快建设新型基础设施</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_Toc14094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92</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6"/>
        <w:pBdr/>
        <w:tabs>
          <w:tab w:val="right" w:leader="dot" w:pos="8844"/>
        </w:tabs>
        <w:spacing/>
        <w:ind/>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_Toc29417 </w:instrText>
      </w:r>
      <w:r>
        <w:rPr>
          <w:rFonts w:hint="eastAsia" w:ascii="楷体_GB2312" w:hAnsi="楷体_GB2312" w:eastAsia="楷体_GB2312" w:cs="楷体_GB2312"/>
          <w:sz w:val="28"/>
          <w:szCs w:val="28"/>
        </w:rPr>
        <w:fldChar w:fldCharType="separate"/>
      </w:r>
      <w:r>
        <w:rPr>
          <w:rFonts w:hint="eastAsia" w:ascii="黑体" w:hAnsi="黑体" w:cs="黑体"/>
          <w:b w:val="0"/>
          <w:bCs w:val="0"/>
          <w:sz w:val="28"/>
          <w:szCs w:val="28"/>
        </w:rPr>
        <w:t xml:space="preserve">第十一章 践行绿色发展理念</w:t>
      </w:r>
      <w:r>
        <w:rPr>
          <w:rFonts w:hint="eastAsia" w:ascii="黑体" w:hAnsi="黑体" w:cs="黑体"/>
          <w:b w:val="0"/>
          <w:bCs w:val="0"/>
          <w:sz w:val="28"/>
          <w:szCs w:val="28"/>
          <w:lang w:val="en-US"/>
        </w:rPr>
        <w:t xml:space="preserve">  </w:t>
      </w:r>
      <w:r>
        <w:rPr>
          <w:rFonts w:hint="eastAsia" w:ascii="黑体" w:hAnsi="黑体" w:cs="黑体"/>
          <w:b w:val="0"/>
          <w:bCs w:val="0"/>
          <w:sz w:val="28"/>
          <w:szCs w:val="28"/>
        </w:rPr>
        <w:t xml:space="preserve">建设生态宜居美丽随州</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_Toc29417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94</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_Toc13187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一、加快建设鄂北生态屏障</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_Toc13187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94</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_Toc27047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二、持续强化污染防治</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_Toc27047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97</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_Toc8727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三、推动资源节约绿色发展</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_Toc8727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98</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_Toc24606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四、加快形成绿色生活方式</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_Toc24606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100</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6"/>
        <w:pBdr/>
        <w:tabs>
          <w:tab w:val="right" w:leader="dot" w:pos="8844"/>
        </w:tabs>
        <w:spacing/>
        <w:ind/>
        <w:rPr>
          <w:rFonts w:hint="eastAsia" w:ascii="楷体_GB2312" w:hAnsi="楷体_GB2312" w:eastAsia="楷体_GB2312" w:cs="楷体_GB2312"/>
          <w:sz w:val="28"/>
          <w:szCs w:val="28"/>
        </w:rPr>
      </w:pPr>
      <w:r>
        <w:rPr>
          <w:rFonts w:hint="eastAsia" w:ascii="黑体" w:hAnsi="黑体" w:cs="黑体"/>
          <w:b w:val="0"/>
          <w:bCs w:val="0"/>
          <w:color w:val="000000"/>
          <w:sz w:val="28"/>
          <w:szCs w:val="28"/>
        </w:rPr>
        <w:fldChar w:fldCharType="begin"/>
      </w:r>
      <w:r>
        <w:rPr>
          <w:rFonts w:hint="eastAsia" w:ascii="黑体" w:hAnsi="黑体" w:cs="黑体"/>
          <w:b w:val="0"/>
          <w:bCs w:val="0"/>
          <w:sz w:val="28"/>
          <w:szCs w:val="28"/>
        </w:rPr>
        <w:instrText xml:space="preserve"> HYPERLINK \l _Toc18481 </w:instrText>
      </w:r>
      <w:r>
        <w:rPr>
          <w:rFonts w:hint="eastAsia" w:ascii="黑体" w:hAnsi="黑体" w:cs="黑体"/>
          <w:b w:val="0"/>
          <w:bCs w:val="0"/>
          <w:sz w:val="28"/>
          <w:szCs w:val="28"/>
        </w:rPr>
        <w:fldChar w:fldCharType="separate"/>
      </w:r>
      <w:r>
        <w:rPr>
          <w:rFonts w:hint="eastAsia" w:ascii="黑体" w:hAnsi="黑体" w:cs="黑体"/>
          <w:b w:val="0"/>
          <w:bCs w:val="0"/>
          <w:sz w:val="28"/>
          <w:szCs w:val="28"/>
        </w:rPr>
        <w:t xml:space="preserve">第十二章 加强社会主义精神文明建设</w:t>
      </w:r>
      <w:r>
        <w:rPr>
          <w:rFonts w:hint="eastAsia" w:ascii="黑体" w:hAnsi="黑体" w:cs="黑体"/>
          <w:b w:val="0"/>
          <w:bCs w:val="0"/>
          <w:color w:val="000000"/>
          <w:sz w:val="28"/>
          <w:szCs w:val="28"/>
        </w:rPr>
        <w:fldChar w:fldCharType="end"/>
      </w:r>
      <w:r>
        <w:rPr>
          <w:rFonts w:hint="eastAsia" w:ascii="楷体_GB2312" w:hAnsi="楷体_GB2312" w:eastAsia="楷体_GB2312" w:cs="楷体_GB2312"/>
          <w:color w:val="000000"/>
          <w:sz w:val="28"/>
          <w:szCs w:val="28"/>
          <w:lang w:val="en-US"/>
        </w:rPr>
        <w:t xml:space="preserve">  </w:t>
      </w: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_Toc24819 </w:instrText>
      </w:r>
      <w:r>
        <w:rPr>
          <w:rFonts w:hint="eastAsia" w:ascii="楷体_GB2312" w:hAnsi="楷体_GB2312" w:eastAsia="楷体_GB2312" w:cs="楷体_GB2312"/>
          <w:sz w:val="28"/>
          <w:szCs w:val="28"/>
        </w:rPr>
        <w:fldChar w:fldCharType="separate"/>
      </w:r>
      <w:r>
        <w:rPr>
          <w:rFonts w:hint="eastAsia" w:ascii="黑体" w:hAnsi="黑体" w:cs="黑体"/>
          <w:b w:val="0"/>
          <w:bCs w:val="0"/>
          <w:sz w:val="28"/>
          <w:szCs w:val="28"/>
          <w:lang w:eastAsia="zh-CN"/>
        </w:rPr>
        <w:t xml:space="preserve">创建</w:t>
      </w:r>
      <w:r>
        <w:rPr>
          <w:rFonts w:hint="eastAsia" w:ascii="黑体" w:hAnsi="黑体" w:cs="黑体"/>
          <w:b w:val="0"/>
          <w:bCs w:val="0"/>
          <w:sz w:val="28"/>
          <w:szCs w:val="28"/>
        </w:rPr>
        <w:t xml:space="preserve">全国文明城市</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_Toc24819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101</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_Toc15724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一、全面提高公民文明素质</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_Toc15724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101</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_Toc9905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二、丰富文化产品和服务</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_Toc9905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103</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_Toc22018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三、增强随州文化影响力</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_Toc22018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105</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6"/>
        <w:pBdr/>
        <w:tabs>
          <w:tab w:val="right" w:leader="dot" w:pos="8844"/>
        </w:tabs>
        <w:spacing/>
        <w:ind/>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_Toc4385 </w:instrText>
      </w:r>
      <w:r>
        <w:rPr>
          <w:rFonts w:hint="eastAsia" w:ascii="楷体_GB2312" w:hAnsi="楷体_GB2312" w:eastAsia="楷体_GB2312" w:cs="楷体_GB2312"/>
          <w:sz w:val="28"/>
          <w:szCs w:val="28"/>
        </w:rPr>
        <w:fldChar w:fldCharType="separate"/>
      </w:r>
      <w:r>
        <w:rPr>
          <w:rFonts w:hint="eastAsia" w:ascii="黑体" w:hAnsi="黑体" w:cs="黑体"/>
          <w:b w:val="0"/>
          <w:bCs w:val="0"/>
          <w:sz w:val="28"/>
          <w:szCs w:val="28"/>
        </w:rPr>
        <w:t xml:space="preserve">第十三章 全面提高市民素质</w:t>
      </w:r>
      <w:r>
        <w:rPr>
          <w:rFonts w:hint="eastAsia" w:ascii="黑体" w:hAnsi="黑体" w:cs="黑体"/>
          <w:b w:val="0"/>
          <w:bCs w:val="0"/>
          <w:sz w:val="28"/>
          <w:szCs w:val="28"/>
          <w:lang w:val="en-US"/>
        </w:rPr>
        <w:t xml:space="preserve">  </w:t>
      </w:r>
      <w:r>
        <w:rPr>
          <w:rFonts w:hint="eastAsia" w:ascii="黑体" w:hAnsi="黑体" w:cs="黑体"/>
          <w:b w:val="0"/>
          <w:bCs w:val="0"/>
          <w:sz w:val="28"/>
          <w:szCs w:val="28"/>
        </w:rPr>
        <w:t xml:space="preserve">促进人的全面发展</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_Toc4385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106</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_Toc9537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一、大力推进教育现代化</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_Toc9537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106</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_Toc30292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二、建设健康活力城市</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_Toc30292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108</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_Toc240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三、促进人口</w:t>
      </w:r>
      <w:r>
        <w:rPr>
          <w:rFonts w:hint="eastAsia" w:ascii="楷体_GB2312" w:hAnsi="楷体_GB2312" w:eastAsia="楷体_GB2312" w:cs="楷体_GB2312"/>
          <w:bCs/>
          <w:sz w:val="28"/>
          <w:szCs w:val="28"/>
          <w:lang w:eastAsia="zh-CN"/>
        </w:rPr>
        <w:t xml:space="preserve">长期</w:t>
      </w:r>
      <w:r>
        <w:rPr>
          <w:rFonts w:hint="eastAsia" w:ascii="楷体_GB2312" w:hAnsi="楷体_GB2312" w:eastAsia="楷体_GB2312" w:cs="楷体_GB2312"/>
          <w:bCs/>
          <w:sz w:val="28"/>
          <w:szCs w:val="28"/>
        </w:rPr>
        <w:t xml:space="preserve">均衡发展</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_Toc240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111</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6"/>
        <w:pBdr/>
        <w:tabs>
          <w:tab w:val="right" w:leader="dot" w:pos="8844"/>
        </w:tabs>
        <w:spacing/>
        <w:ind/>
        <w:rPr>
          <w:rFonts w:hint="eastAsia" w:ascii="楷体_GB2312" w:hAnsi="楷体_GB2312" w:eastAsia="楷体_GB2312" w:cs="楷体_GB2312"/>
          <w:sz w:val="28"/>
          <w:szCs w:val="28"/>
        </w:rPr>
      </w:pPr>
      <w:r>
        <w:rPr>
          <w:rFonts w:hint="eastAsia" w:ascii="黑体" w:hAnsi="黑体" w:cs="黑体"/>
          <w:b w:val="0"/>
          <w:bCs w:val="0"/>
          <w:color w:val="000000"/>
          <w:sz w:val="28"/>
          <w:szCs w:val="28"/>
        </w:rPr>
        <w:fldChar w:fldCharType="begin"/>
      </w:r>
      <w:r>
        <w:rPr>
          <w:rFonts w:hint="eastAsia" w:ascii="黑体" w:hAnsi="黑体" w:cs="黑体"/>
          <w:b w:val="0"/>
          <w:bCs w:val="0"/>
          <w:sz w:val="28"/>
          <w:szCs w:val="28"/>
        </w:rPr>
        <w:instrText xml:space="preserve"> HYPERLINK \l _Toc13582 </w:instrText>
      </w:r>
      <w:r>
        <w:rPr>
          <w:rFonts w:hint="eastAsia" w:ascii="黑体" w:hAnsi="黑体" w:cs="黑体"/>
          <w:b w:val="0"/>
          <w:bCs w:val="0"/>
          <w:sz w:val="28"/>
          <w:szCs w:val="28"/>
        </w:rPr>
        <w:fldChar w:fldCharType="separate"/>
      </w:r>
      <w:r>
        <w:rPr>
          <w:rFonts w:hint="eastAsia" w:ascii="黑体" w:hAnsi="黑体" w:cs="黑体"/>
          <w:b w:val="0"/>
          <w:bCs w:val="0"/>
          <w:sz w:val="28"/>
          <w:szCs w:val="28"/>
        </w:rPr>
        <w:t xml:space="preserve">第十四章 保障和改善社会民生</w:t>
      </w:r>
      <w:r>
        <w:rPr>
          <w:rFonts w:hint="eastAsia" w:ascii="黑体" w:hAnsi="黑体" w:cs="黑体"/>
          <w:b w:val="0"/>
          <w:bCs w:val="0"/>
          <w:color w:val="000000"/>
          <w:sz w:val="28"/>
          <w:szCs w:val="28"/>
        </w:rPr>
        <w:fldChar w:fldCharType="end"/>
      </w:r>
      <w:r>
        <w:rPr>
          <w:rFonts w:hint="eastAsia" w:ascii="楷体_GB2312" w:hAnsi="楷体_GB2312" w:eastAsia="楷体_GB2312" w:cs="楷体_GB2312"/>
          <w:color w:val="000000"/>
          <w:sz w:val="28"/>
          <w:szCs w:val="28"/>
          <w:lang w:val="en-US"/>
        </w:rPr>
        <w:t xml:space="preserve">  </w:t>
      </w: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_Toc29838 </w:instrText>
      </w:r>
      <w:r>
        <w:rPr>
          <w:rFonts w:hint="eastAsia" w:ascii="楷体_GB2312" w:hAnsi="楷体_GB2312" w:eastAsia="楷体_GB2312" w:cs="楷体_GB2312"/>
          <w:sz w:val="28"/>
          <w:szCs w:val="28"/>
        </w:rPr>
        <w:fldChar w:fldCharType="separate"/>
      </w:r>
      <w:r>
        <w:rPr>
          <w:rFonts w:hint="eastAsia" w:ascii="黑体" w:hAnsi="黑体" w:cs="黑体"/>
          <w:b w:val="0"/>
          <w:bCs w:val="0"/>
          <w:sz w:val="28"/>
          <w:szCs w:val="28"/>
        </w:rPr>
        <w:t xml:space="preserve">促进发展成果人民共享</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_Toc29838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114</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_Toc23410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一、保障居民充分就业</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_Toc23410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114</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_Toc19405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二、促进居民持续增收</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_Toc19405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116</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_Toc3099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三、完善社会保障体系</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_Toc3099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117</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6"/>
        <w:pBdr/>
        <w:tabs>
          <w:tab w:val="right" w:leader="dot" w:pos="8844"/>
        </w:tabs>
        <w:spacing/>
        <w:ind/>
        <w:rPr>
          <w:rFonts w:hint="eastAsia" w:ascii="楷体_GB2312" w:hAnsi="楷体_GB2312" w:eastAsia="楷体_GB2312" w:cs="楷体_GB2312"/>
          <w:sz w:val="28"/>
          <w:szCs w:val="28"/>
        </w:rPr>
      </w:pPr>
      <w:r>
        <w:rPr>
          <w:rFonts w:hint="eastAsia" w:ascii="黑体" w:hAnsi="黑体" w:cs="黑体"/>
          <w:b w:val="0"/>
          <w:bCs w:val="0"/>
          <w:color w:val="000000"/>
          <w:sz w:val="28"/>
          <w:szCs w:val="28"/>
        </w:rPr>
        <w:fldChar w:fldCharType="begin"/>
      </w:r>
      <w:r>
        <w:rPr>
          <w:rFonts w:hint="eastAsia" w:ascii="黑体" w:hAnsi="黑体" w:cs="黑体"/>
          <w:b w:val="0"/>
          <w:bCs w:val="0"/>
          <w:sz w:val="28"/>
          <w:szCs w:val="28"/>
        </w:rPr>
        <w:instrText xml:space="preserve"> HYPERLINK \l _Toc21952 </w:instrText>
      </w:r>
      <w:r>
        <w:rPr>
          <w:rFonts w:hint="eastAsia" w:ascii="黑体" w:hAnsi="黑体" w:cs="黑体"/>
          <w:b w:val="0"/>
          <w:bCs w:val="0"/>
          <w:sz w:val="28"/>
          <w:szCs w:val="28"/>
        </w:rPr>
        <w:fldChar w:fldCharType="separate"/>
      </w:r>
      <w:r>
        <w:rPr>
          <w:rFonts w:hint="eastAsia" w:ascii="黑体" w:hAnsi="黑体" w:cs="黑体"/>
          <w:b w:val="0"/>
          <w:bCs w:val="0"/>
          <w:sz w:val="28"/>
          <w:szCs w:val="28"/>
        </w:rPr>
        <w:t xml:space="preserve">第十五章 推进市域治理现代化</w:t>
      </w:r>
      <w:r>
        <w:rPr>
          <w:rFonts w:hint="eastAsia" w:ascii="黑体" w:hAnsi="黑体" w:cs="黑体"/>
          <w:b w:val="0"/>
          <w:bCs w:val="0"/>
          <w:color w:val="000000"/>
          <w:sz w:val="28"/>
          <w:szCs w:val="28"/>
        </w:rPr>
        <w:fldChar w:fldCharType="end"/>
      </w:r>
      <w:r>
        <w:rPr>
          <w:rFonts w:hint="eastAsia" w:ascii="楷体_GB2312" w:hAnsi="楷体_GB2312" w:eastAsia="楷体_GB2312" w:cs="楷体_GB2312"/>
          <w:color w:val="000000"/>
          <w:sz w:val="28"/>
          <w:szCs w:val="28"/>
          <w:lang w:val="en-US"/>
        </w:rPr>
        <w:t xml:space="preserve">  </w:t>
      </w: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_Toc23826 </w:instrText>
      </w:r>
      <w:r>
        <w:rPr>
          <w:rFonts w:hint="eastAsia" w:ascii="楷体_GB2312" w:hAnsi="楷体_GB2312" w:eastAsia="楷体_GB2312" w:cs="楷体_GB2312"/>
          <w:sz w:val="28"/>
          <w:szCs w:val="28"/>
        </w:rPr>
        <w:fldChar w:fldCharType="separate"/>
      </w:r>
      <w:r>
        <w:rPr>
          <w:rFonts w:hint="eastAsia" w:ascii="黑体" w:hAnsi="黑体" w:cs="黑体"/>
          <w:b w:val="0"/>
          <w:bCs w:val="0"/>
          <w:sz w:val="28"/>
          <w:szCs w:val="28"/>
        </w:rPr>
        <w:t xml:space="preserve">提高治理效能</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_Toc23826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121</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_Toc20111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一、深化民主法治建设</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_Toc20111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121</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_Toc1841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二、切实保障公共安全</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_Toc1841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123</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_Toc2990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三、构建社会治理新格局</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_Toc2990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125</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_Toc12797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四、加强国防动员和后备力量建设</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_Toc12797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127</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6"/>
        <w:pBdr/>
        <w:tabs>
          <w:tab w:val="right" w:leader="dot" w:pos="8844"/>
        </w:tabs>
        <w:spacing/>
        <w:ind/>
        <w:rPr>
          <w:rFonts w:hint="eastAsia" w:ascii="楷体_GB2312" w:hAnsi="楷体_GB2312" w:eastAsia="楷体_GB2312" w:cs="楷体_GB2312"/>
          <w:sz w:val="28"/>
          <w:szCs w:val="28"/>
        </w:rPr>
      </w:pPr>
      <w:r>
        <w:rPr>
          <w:rFonts w:hint="eastAsia" w:ascii="黑体" w:hAnsi="黑体" w:cs="黑体"/>
          <w:b w:val="0"/>
          <w:bCs w:val="0"/>
          <w:color w:val="000000"/>
          <w:sz w:val="28"/>
          <w:szCs w:val="28"/>
        </w:rPr>
        <w:fldChar w:fldCharType="begin"/>
      </w:r>
      <w:r>
        <w:rPr>
          <w:rFonts w:hint="eastAsia" w:ascii="黑体" w:hAnsi="黑体" w:cs="黑体"/>
          <w:b w:val="0"/>
          <w:bCs w:val="0"/>
          <w:sz w:val="28"/>
          <w:szCs w:val="28"/>
        </w:rPr>
        <w:instrText xml:space="preserve"> HYPERLINK \l _Toc9963 </w:instrText>
      </w:r>
      <w:r>
        <w:rPr>
          <w:rFonts w:hint="eastAsia" w:ascii="黑体" w:hAnsi="黑体" w:cs="黑体"/>
          <w:b w:val="0"/>
          <w:bCs w:val="0"/>
          <w:sz w:val="28"/>
          <w:szCs w:val="28"/>
        </w:rPr>
        <w:fldChar w:fldCharType="separate"/>
      </w:r>
      <w:r>
        <w:rPr>
          <w:rFonts w:hint="eastAsia" w:ascii="黑体" w:hAnsi="黑体" w:cs="黑体"/>
          <w:b w:val="0"/>
          <w:bCs w:val="0"/>
          <w:sz w:val="28"/>
          <w:szCs w:val="28"/>
        </w:rPr>
        <w:t xml:space="preserve">第十六章 强化保障措施</w:t>
      </w:r>
      <w:r>
        <w:rPr>
          <w:rFonts w:hint="eastAsia" w:ascii="黑体" w:hAnsi="黑体" w:cs="黑体"/>
          <w:b w:val="0"/>
          <w:bCs w:val="0"/>
          <w:color w:val="000000"/>
          <w:sz w:val="28"/>
          <w:szCs w:val="28"/>
        </w:rPr>
        <w:fldChar w:fldCharType="end"/>
      </w:r>
      <w:r>
        <w:rPr>
          <w:rFonts w:hint="eastAsia" w:ascii="黑体" w:hAnsi="黑体" w:cs="黑体"/>
          <w:b w:val="0"/>
          <w:bCs w:val="0"/>
          <w:color w:val="000000"/>
          <w:sz w:val="28"/>
          <w:szCs w:val="28"/>
          <w:lang w:val="en-US"/>
        </w:rPr>
        <w:t xml:space="preserve"> </w:t>
      </w:r>
      <w:r>
        <w:rPr>
          <w:rFonts w:hint="eastAsia" w:ascii="楷体_GB2312" w:hAnsi="楷体_GB2312" w:eastAsia="楷体_GB2312" w:cs="楷体_GB2312"/>
          <w:color w:val="000000"/>
          <w:sz w:val="28"/>
          <w:szCs w:val="28"/>
          <w:lang w:val="en-US"/>
        </w:rPr>
        <w:t xml:space="preserve"> </w:t>
      </w: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_Toc18178 </w:instrText>
      </w:r>
      <w:r>
        <w:rPr>
          <w:rFonts w:hint="eastAsia" w:ascii="楷体_GB2312" w:hAnsi="楷体_GB2312" w:eastAsia="楷体_GB2312" w:cs="楷体_GB2312"/>
          <w:sz w:val="28"/>
          <w:szCs w:val="28"/>
        </w:rPr>
        <w:fldChar w:fldCharType="separate"/>
      </w:r>
      <w:r>
        <w:rPr>
          <w:rFonts w:hint="eastAsia" w:ascii="黑体" w:hAnsi="黑体" w:cs="黑体"/>
          <w:b w:val="0"/>
          <w:bCs w:val="0"/>
          <w:sz w:val="28"/>
          <w:szCs w:val="28"/>
        </w:rPr>
        <w:t xml:space="preserve">推动规划有效实施</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_Toc18178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129</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_Toc1742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一、坚持和完善党对经济社会发展的领导</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_Toc1742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129</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_Toc20771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二、凝聚全社会力量共同奋斗</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_Toc20771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130</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69"/>
        <w:pBdr/>
        <w:tabs>
          <w:tab w:val="right" w:leader="dot" w:pos="8844"/>
        </w:tabs>
        <w:spacing/>
        <w:ind w:left="640"/>
        <w:rPr>
          <w:rFonts w:hint="eastAsia" w:ascii="楷体_GB2312" w:hAnsi="楷体_GB2312" w:eastAsia="楷体_GB2312" w:cs="楷体_GB2312"/>
          <w:sz w:val="28"/>
          <w:szCs w:val="28"/>
        </w:rPr>
      </w:pPr>
      <w:r>
        <w:rPr>
          <w:rFonts w:hint="eastAsia" w:ascii="楷体_GB2312" w:hAnsi="楷体_GB2312" w:eastAsia="楷体_GB2312" w:cs="楷体_GB2312"/>
          <w:color w:val="000000"/>
          <w:sz w:val="28"/>
          <w:szCs w:val="28"/>
        </w:rPr>
        <w:fldChar w:fldCharType="begin"/>
      </w:r>
      <w:r>
        <w:rPr>
          <w:rFonts w:hint="eastAsia" w:ascii="楷体_GB2312" w:hAnsi="楷体_GB2312" w:eastAsia="楷体_GB2312" w:cs="楷体_GB2312"/>
          <w:sz w:val="28"/>
          <w:szCs w:val="28"/>
        </w:rPr>
        <w:instrText xml:space="preserve"> HYPERLINK \l _Toc22309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bCs/>
          <w:sz w:val="28"/>
          <w:szCs w:val="28"/>
        </w:rPr>
        <w:t xml:space="preserve">三、加强规划实施和管理</w:t>
      </w:r>
      <w:r>
        <w:rPr>
          <w:rFonts w:hint="eastAsia" w:ascii="楷体_GB2312" w:hAnsi="楷体_GB2312" w:eastAsia="楷体_GB2312" w:cs="楷体_GB2312"/>
          <w:sz w:val="28"/>
          <w:szCs w:val="28"/>
        </w:rPr>
        <w:tab/>
      </w: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PAGEREF _Toc22309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 xml:space="preserve">130</w:t>
      </w:r>
      <w:r>
        <w:rPr>
          <w:rFonts w:hint="eastAsia" w:ascii="楷体_GB2312" w:hAnsi="楷体_GB2312" w:eastAsia="楷体_GB2312" w:cs="楷体_GB2312"/>
          <w:sz w:val="28"/>
          <w:szCs w:val="28"/>
        </w:rPr>
        <w:fldChar w:fldCharType="end"/>
      </w: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sz w:val="28"/>
          <w:szCs w:val="28"/>
        </w:rPr>
      </w:r>
      <w:r>
        <w:rPr>
          <w:rFonts w:hint="eastAsia" w:ascii="楷体_GB2312" w:hAnsi="楷体_GB2312" w:eastAsia="楷体_GB2312" w:cs="楷体_GB2312"/>
          <w:sz w:val="28"/>
          <w:szCs w:val="28"/>
        </w:rPr>
      </w:r>
    </w:p>
    <w:p>
      <w:pPr>
        <w:pStyle w:val="792"/>
        <w:pBdr/>
        <w:spacing/>
        <w:ind w:firstLine="560" w:left="640"/>
        <w:rPr>
          <w:rFonts w:hint="eastAsia" w:ascii="楷体_GB2312" w:hAnsi="楷体_GB2312" w:eastAsia="楷体_GB2312" w:cs="楷体_GB2312"/>
          <w:color w:val="000000"/>
          <w:sz w:val="28"/>
          <w:szCs w:val="28"/>
        </w:rPr>
      </w:pPr>
      <w:r>
        <w:rPr>
          <w:rFonts w:hint="eastAsia" w:ascii="楷体_GB2312" w:hAnsi="楷体_GB2312" w:eastAsia="楷体_GB2312" w:cs="楷体_GB2312"/>
          <w:color w:val="000000"/>
          <w:sz w:val="28"/>
          <w:szCs w:val="28"/>
        </w:rPr>
        <w:fldChar w:fldCharType="end"/>
      </w:r>
      <w:r>
        <w:rPr>
          <w:rFonts w:hint="eastAsia" w:ascii="楷体_GB2312" w:hAnsi="楷体_GB2312" w:eastAsia="楷体_GB2312" w:cs="楷体_GB2312"/>
          <w:color w:val="000000"/>
          <w:sz w:val="28"/>
          <w:szCs w:val="28"/>
        </w:rPr>
      </w:r>
      <w:r>
        <w:rPr>
          <w:rFonts w:hint="eastAsia" w:ascii="楷体_GB2312" w:hAnsi="楷体_GB2312" w:eastAsia="楷体_GB2312" w:cs="楷体_GB2312"/>
          <w:color w:val="000000"/>
          <w:sz w:val="28"/>
          <w:szCs w:val="28"/>
        </w:rPr>
      </w:r>
    </w:p>
    <w:p>
      <w:pPr>
        <w:pStyle w:val="792"/>
        <w:pBdr/>
        <w:spacing/>
        <w:ind w:firstLine="560" w:left="640"/>
        <w:rPr>
          <w:rFonts w:hint="eastAsia" w:ascii="楷体_GB2312" w:hAnsi="楷体_GB2312" w:eastAsia="楷体_GB2312" w:cs="楷体_GB2312"/>
          <w:color w:val="000000"/>
          <w:sz w:val="28"/>
          <w:szCs w:val="28"/>
        </w:rPr>
        <w:sectPr>
          <w:footnotePr/>
          <w:endnotePr/>
          <w:type w:val="nextPage"/>
          <w:pgSz w:h="16838" w:orient="landscape" w:w="11906"/>
          <w:pgMar w:top="2098" w:right="1474" w:bottom="1985" w:left="1588" w:header="851" w:footer="992" w:gutter="0"/>
          <w:pgNumType w:start="1"/>
          <w:cols w:num="1" w:sep="0" w:space="1701" w:equalWidth="1"/>
        </w:sectPr>
      </w:pPr>
      <w:r/>
      <w:bookmarkEnd w:id="1"/>
      <w:r/>
      <w:bookmarkEnd w:id="2"/>
      <w:r>
        <w:rPr>
          <w:rFonts w:hint="eastAsia" w:ascii="楷体_GB2312" w:hAnsi="楷体_GB2312" w:eastAsia="楷体_GB2312" w:cs="楷体_GB2312"/>
          <w:color w:val="000000"/>
          <w:sz w:val="28"/>
          <w:szCs w:val="28"/>
        </w:rPr>
      </w:r>
      <w:r>
        <w:rPr>
          <w:rFonts w:hint="eastAsia" w:ascii="楷体_GB2312" w:hAnsi="楷体_GB2312" w:eastAsia="楷体_GB2312" w:cs="楷体_GB2312"/>
          <w:color w:val="000000"/>
          <w:sz w:val="28"/>
          <w:szCs w:val="28"/>
        </w:rPr>
      </w:r>
    </w:p>
    <w:p>
      <w:pPr>
        <w:pStyle w:val="737"/>
        <w:pBdr/>
        <w:spacing/>
        <w:ind w:firstLine="560"/>
        <w:rPr>
          <w:rFonts w:hint="eastAsia" w:ascii="楷体_GB2312" w:hAnsi="楷体_GB2312" w:eastAsia="楷体_GB2312" w:cs="楷体_GB2312"/>
          <w:color w:val="000000"/>
          <w:sz w:val="28"/>
          <w:szCs w:val="28"/>
        </w:rPr>
      </w:pPr>
      <w:r>
        <w:rPr>
          <w:rFonts w:hint="eastAsia" w:ascii="楷体_GB2312" w:hAnsi="楷体_GB2312" w:eastAsia="楷体_GB2312" w:cs="楷体_GB2312"/>
          <w:color w:val="000000"/>
          <w:sz w:val="28"/>
          <w:szCs w:val="28"/>
        </w:rPr>
      </w:r>
      <w:r>
        <w:rPr>
          <w:rFonts w:hint="eastAsia" w:ascii="楷体_GB2312" w:hAnsi="楷体_GB2312" w:eastAsia="楷体_GB2312" w:cs="楷体_GB2312"/>
          <w:color w:val="000000"/>
          <w:sz w:val="28"/>
          <w:szCs w:val="28"/>
        </w:rPr>
      </w:r>
    </w:p>
    <w:p>
      <w:pPr>
        <w:pStyle w:val="737"/>
        <w:pBdr/>
        <w:spacing/>
        <w:ind w:firstLine="640"/>
        <w:rPr>
          <w:color w:val="000000"/>
        </w:rPr>
      </w:pPr>
      <w:r>
        <w:rPr>
          <w:color w:val="000000"/>
        </w:rPr>
      </w:r>
      <w:r>
        <w:rPr>
          <w:color w:val="000000"/>
        </w:rPr>
      </w:r>
    </w:p>
    <w:p>
      <w:pPr>
        <w:pStyle w:val="738"/>
        <w:pBdr/>
        <w:spacing/>
        <w:ind/>
        <w:rPr>
          <w:rFonts w:eastAsia="方正小标宋简体"/>
          <w:b w:val="0"/>
          <w:bCs w:val="0"/>
          <w:color w:val="000000"/>
          <w:sz w:val="44"/>
          <w:szCs w:val="44"/>
        </w:rPr>
      </w:pPr>
      <w:r/>
      <w:bookmarkStart w:id="3" w:name="_Toc108"/>
      <w:r>
        <w:rPr>
          <w:rFonts w:hint="eastAsia" w:eastAsia="方正小标宋简体" w:cs="方正小标宋简体"/>
          <w:b w:val="0"/>
          <w:bCs w:val="0"/>
          <w:color w:val="000000"/>
          <w:sz w:val="44"/>
          <w:szCs w:val="44"/>
        </w:rPr>
        <w:t xml:space="preserve">序</w:t>
      </w:r>
      <w:r>
        <w:rPr>
          <w:rFonts w:eastAsia="方正小标宋简体"/>
          <w:b w:val="0"/>
          <w:bCs w:val="0"/>
          <w:color w:val="000000"/>
          <w:sz w:val="44"/>
          <w:szCs w:val="44"/>
        </w:rPr>
        <w:t xml:space="preserve"> </w:t>
      </w:r>
      <w:r>
        <w:rPr>
          <w:rFonts w:hint="eastAsia" w:eastAsia="方正小标宋简体" w:cs="方正小标宋简体"/>
          <w:b w:val="0"/>
          <w:bCs w:val="0"/>
          <w:color w:val="000000"/>
          <w:sz w:val="44"/>
          <w:szCs w:val="44"/>
        </w:rPr>
        <w:t xml:space="preserve">言</w:t>
      </w:r>
      <w:bookmarkEnd w:id="3"/>
      <w:r>
        <w:rPr>
          <w:rFonts w:eastAsia="方正小标宋简体"/>
          <w:b w:val="0"/>
          <w:bCs w:val="0"/>
          <w:color w:val="000000"/>
          <w:sz w:val="44"/>
          <w:szCs w:val="44"/>
        </w:rPr>
      </w:r>
      <w:r>
        <w:rPr>
          <w:rFonts w:eastAsia="方正小标宋简体"/>
          <w:b w:val="0"/>
          <w:bCs w:val="0"/>
          <w:color w:val="000000"/>
          <w:sz w:val="44"/>
          <w:szCs w:val="44"/>
        </w:rPr>
      </w:r>
    </w:p>
    <w:p>
      <w:pPr>
        <w:pStyle w:val="737"/>
        <w:pBdr/>
        <w:spacing/>
        <w:ind w:firstLine="640"/>
        <w:rPr>
          <w:color w:val="000000"/>
        </w:rPr>
      </w:pPr>
      <w:r>
        <w:rPr>
          <w:color w:val="000000"/>
        </w:rPr>
      </w:r>
      <w:r>
        <w:rPr>
          <w:color w:val="000000"/>
        </w:rPr>
      </w:r>
    </w:p>
    <w:p>
      <w:pPr>
        <w:pStyle w:val="737"/>
        <w:pBdr/>
        <w:spacing/>
        <w:ind w:firstLine="640"/>
        <w:rPr>
          <w:color w:val="000000"/>
        </w:rPr>
      </w:pPr>
      <w:r>
        <w:rPr>
          <w:rFonts w:hint="eastAsia"/>
          <w:color w:val="000000"/>
        </w:rPr>
        <w:t xml:space="preserve">本纲要根据《中共随州市委关于制定随州市国民经济和社会发展第十四个五年规划和</w:t>
      </w:r>
      <w:r>
        <w:rPr>
          <w:rFonts w:hint="eastAsia"/>
          <w:color w:val="000000"/>
          <w:lang w:val="en-US" w:eastAsia="zh-CN"/>
        </w:rPr>
        <w:t xml:space="preserve">2035</w:t>
      </w:r>
      <w:r>
        <w:rPr>
          <w:rFonts w:hint="eastAsia"/>
          <w:color w:val="000000"/>
        </w:rPr>
        <w:t xml:space="preserve">年远景目标的建议》，主要阐明随州到</w:t>
      </w:r>
      <w:r>
        <w:rPr>
          <w:rFonts w:hint="eastAsia"/>
          <w:color w:val="000000"/>
          <w:lang w:val="en-US"/>
        </w:rPr>
        <w:t xml:space="preserve">2035</w:t>
      </w:r>
      <w:r>
        <w:rPr>
          <w:rFonts w:hint="eastAsia"/>
          <w:color w:val="000000"/>
        </w:rPr>
        <w:t xml:space="preserve">年远景目标及</w:t>
      </w:r>
      <w:r>
        <w:rPr>
          <w:color w:val="000000"/>
        </w:rPr>
        <w:t xml:space="preserve">“</w:t>
      </w:r>
      <w:r>
        <w:rPr>
          <w:rFonts w:hint="eastAsia"/>
          <w:color w:val="000000"/>
        </w:rPr>
        <w:t xml:space="preserve">十四五</w:t>
      </w:r>
      <w:r>
        <w:rPr>
          <w:color w:val="000000"/>
        </w:rPr>
        <w:t xml:space="preserve">”</w:t>
      </w:r>
      <w:r>
        <w:rPr>
          <w:rFonts w:hint="eastAsia"/>
          <w:color w:val="000000"/>
        </w:rPr>
        <w:t xml:space="preserve">时期发展目标、主要任务、重大举措，是今后五年随州经济社会发展的宏伟蓝图，是市场主体的行为导向，是政府履行职责的重要依据，是全市人民共同奋斗的行动纲领。</w:t>
      </w:r>
      <w:r>
        <w:rPr>
          <w:color w:val="000000"/>
        </w:rPr>
      </w:r>
      <w:r>
        <w:rPr>
          <w:color w:val="000000"/>
        </w:rPr>
      </w:r>
    </w:p>
    <w:p>
      <w:pPr>
        <w:pStyle w:val="792"/>
        <w:pBdr/>
        <w:spacing w:line="620" w:lineRule="exact"/>
        <w:ind w:firstLine="0"/>
        <w:rPr>
          <w:color w:val="000000"/>
        </w:rPr>
      </w:pPr>
      <w:r>
        <w:rPr>
          <w:color w:val="000000"/>
        </w:rPr>
        <w:br w:type="page" w:clear="all"/>
      </w:r>
      <w:r>
        <w:rPr>
          <w:color w:val="000000"/>
        </w:rPr>
      </w:r>
      <w:r>
        <w:rPr>
          <w:color w:val="000000"/>
        </w:rPr>
      </w:r>
    </w:p>
    <w:p>
      <w:pPr>
        <w:pStyle w:val="737"/>
        <w:pBdr/>
        <w:spacing w:line="620" w:lineRule="exact"/>
        <w:ind w:firstLine="0"/>
        <w:rPr>
          <w:color w:val="000000"/>
        </w:rPr>
      </w:pPr>
      <w:r>
        <w:rPr>
          <w:color w:val="000000"/>
        </w:rPr>
      </w:r>
      <w:r>
        <w:rPr>
          <w:color w:val="000000"/>
        </w:rPr>
      </w:r>
    </w:p>
    <w:p>
      <w:pPr>
        <w:pStyle w:val="738"/>
        <w:pBdr/>
        <w:spacing/>
        <w:ind/>
        <w:rPr>
          <w:rFonts w:eastAsia="方正小标宋简体"/>
          <w:b w:val="0"/>
          <w:bCs w:val="0"/>
          <w:color w:val="000000"/>
          <w:sz w:val="36"/>
          <w:szCs w:val="36"/>
        </w:rPr>
      </w:pPr>
      <w:r/>
      <w:bookmarkStart w:id="4" w:name="_Toc18187"/>
      <w:r>
        <w:rPr>
          <w:rFonts w:hint="eastAsia" w:eastAsia="方正小标宋简体" w:cs="方正小标宋简体"/>
          <w:b w:val="0"/>
          <w:bCs w:val="0"/>
          <w:color w:val="000000"/>
          <w:sz w:val="36"/>
          <w:szCs w:val="36"/>
        </w:rPr>
        <w:t xml:space="preserve">第一章</w:t>
      </w:r>
      <w:r>
        <w:rPr>
          <w:rFonts w:eastAsia="方正小标宋简体"/>
          <w:b w:val="0"/>
          <w:bCs w:val="0"/>
          <w:color w:val="000000"/>
          <w:sz w:val="36"/>
          <w:szCs w:val="36"/>
        </w:rPr>
        <w:t xml:space="preserve"> </w:t>
      </w:r>
      <w:r>
        <w:rPr>
          <w:rFonts w:hint="eastAsia" w:eastAsia="方正小标宋简体" w:cs="方正小标宋简体"/>
          <w:b w:val="0"/>
          <w:bCs w:val="0"/>
          <w:color w:val="000000"/>
          <w:sz w:val="36"/>
          <w:szCs w:val="36"/>
        </w:rPr>
        <w:t xml:space="preserve">全面建成小康社会</w:t>
      </w:r>
      <w:bookmarkEnd w:id="4"/>
      <w:r>
        <w:rPr>
          <w:rFonts w:eastAsia="方正小标宋简体"/>
          <w:b w:val="0"/>
          <w:bCs w:val="0"/>
          <w:color w:val="000000"/>
          <w:sz w:val="36"/>
          <w:szCs w:val="36"/>
        </w:rPr>
      </w:r>
      <w:r>
        <w:rPr>
          <w:rFonts w:eastAsia="方正小标宋简体"/>
          <w:b w:val="0"/>
          <w:bCs w:val="0"/>
          <w:color w:val="000000"/>
          <w:sz w:val="36"/>
          <w:szCs w:val="36"/>
        </w:rPr>
      </w:r>
    </w:p>
    <w:p>
      <w:pPr>
        <w:pStyle w:val="738"/>
        <w:pBdr/>
        <w:spacing/>
        <w:ind/>
        <w:rPr>
          <w:rFonts w:eastAsia="方正小标宋简体"/>
          <w:b w:val="0"/>
          <w:bCs w:val="0"/>
          <w:color w:val="000000"/>
          <w:sz w:val="36"/>
          <w:szCs w:val="36"/>
        </w:rPr>
      </w:pPr>
      <w:r/>
      <w:bookmarkStart w:id="5" w:name="_Toc25144"/>
      <w:r>
        <w:rPr>
          <w:rFonts w:hint="eastAsia" w:eastAsia="方正小标宋简体" w:cs="方正小标宋简体"/>
          <w:b w:val="0"/>
          <w:bCs w:val="0"/>
          <w:color w:val="000000"/>
          <w:sz w:val="36"/>
          <w:szCs w:val="36"/>
        </w:rPr>
        <w:t xml:space="preserve">开启全面建设社会主义现代化新征程</w:t>
      </w:r>
      <w:bookmarkEnd w:id="5"/>
      <w:r>
        <w:rPr>
          <w:rFonts w:eastAsia="方正小标宋简体"/>
          <w:b w:val="0"/>
          <w:bCs w:val="0"/>
          <w:color w:val="000000"/>
          <w:sz w:val="36"/>
          <w:szCs w:val="36"/>
        </w:rPr>
      </w:r>
      <w:r>
        <w:rPr>
          <w:rFonts w:eastAsia="方正小标宋简体"/>
          <w:b w:val="0"/>
          <w:bCs w:val="0"/>
          <w:color w:val="000000"/>
          <w:sz w:val="36"/>
          <w:szCs w:val="36"/>
        </w:rPr>
      </w:r>
    </w:p>
    <w:p>
      <w:pPr>
        <w:pStyle w:val="737"/>
        <w:pBdr/>
        <w:spacing/>
        <w:ind w:firstLine="640"/>
        <w:rPr>
          <w:color w:val="000000"/>
        </w:rPr>
      </w:pPr>
      <w:r>
        <w:rPr>
          <w:color w:val="000000"/>
        </w:rPr>
      </w:r>
      <w:r>
        <w:rPr>
          <w:color w:val="000000"/>
        </w:rPr>
      </w:r>
    </w:p>
    <w:p>
      <w:pPr>
        <w:pStyle w:val="737"/>
        <w:pBdr/>
        <w:spacing/>
        <w:ind w:firstLine="640"/>
        <w:rPr>
          <w:color w:val="000000"/>
        </w:rPr>
      </w:pPr>
      <w:r>
        <w:rPr>
          <w:color w:val="000000"/>
        </w:rPr>
        <w:t xml:space="preserve">“</w:t>
      </w:r>
      <w:r>
        <w:rPr>
          <w:rFonts w:hint="eastAsia"/>
          <w:color w:val="000000"/>
        </w:rPr>
        <w:t xml:space="preserve">十四五</w:t>
      </w:r>
      <w:r>
        <w:rPr>
          <w:color w:val="000000"/>
        </w:rPr>
        <w:t xml:space="preserve">”</w:t>
      </w:r>
      <w:r>
        <w:rPr>
          <w:rFonts w:hint="eastAsia"/>
          <w:color w:val="000000"/>
        </w:rPr>
        <w:t xml:space="preserve">时期是我市</w:t>
      </w:r>
      <w:r>
        <w:rPr>
          <w:rFonts w:hint="eastAsia"/>
          <w:color w:val="000000"/>
        </w:rPr>
        <w:t xml:space="preserve">全面建成小康社会之后，乘势而上开启全面建设社会主义现代化新征程的第一个五年。进入新发展阶段，必须坚持以习近平新时代中国特色社会主义思想为指导，深入贯彻落实习近平总书记考察湖北系列重要讲话精神，坚持新发展理念，融入新发展格局，坚持稳中求进工作总基调，主动承接全省“一主引领、两翼驱动、全域协同”区域发展布局，全面融入“襄十随神”城市群建设，加快形成“桥接汉襄、融通鄂豫、众星拱月”的联动发展新局面，奋力打造全省特色增长极，努力实现“汉襄肱骨、神韵随州”目标定位，为湖北“建成支点、走在前列、谱写新篇”作出随州贡献。</w:t>
      </w:r>
      <w:r>
        <w:rPr>
          <w:color w:val="000000"/>
        </w:rPr>
      </w:r>
      <w:r>
        <w:rPr>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bookmarkStart w:id="6" w:name="_Toc26826"/>
      <w:r>
        <w:rPr>
          <w:rFonts w:hint="eastAsia" w:ascii="黑体" w:hAnsi="黑体" w:eastAsia="黑体" w:cs="黑体"/>
          <w:b w:val="0"/>
          <w:bCs w:val="0"/>
          <w:color w:val="000000"/>
        </w:rPr>
        <w:t xml:space="preserve">一、发展基础</w:t>
      </w:r>
      <w:bookmarkEnd w:id="6"/>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color w:val="000000"/>
        </w:rPr>
      </w:pPr>
      <w:r/>
      <w:bookmarkStart w:id="7" w:name="_Toc7495"/>
      <w:r>
        <w:rPr>
          <w:rFonts w:ascii="Times New Roman" w:hAnsi="Times New Roman"/>
          <w:color w:val="000000"/>
          <w:lang w:val="en-US"/>
        </w:rPr>
        <w:t xml:space="preserve">“十三五”时期</w:t>
      </w:r>
      <w:r>
        <w:rPr>
          <w:rFonts w:hint="eastAsia" w:ascii="Times New Roman" w:hAnsi="Times New Roman"/>
          <w:color w:val="000000"/>
          <w:lang w:val="en-US"/>
        </w:rPr>
        <w:t xml:space="preserve">我市</w:t>
      </w:r>
      <w:r>
        <w:rPr>
          <w:rFonts w:ascii="Times New Roman" w:hAnsi="Times New Roman"/>
          <w:color w:val="000000"/>
          <w:lang w:val="en-US"/>
        </w:rPr>
        <w:t xml:space="preserve">发展极不寻常、极不平凡。面对</w:t>
      </w:r>
      <w:r>
        <w:rPr>
          <w:rFonts w:hint="eastAsia" w:ascii="Times New Roman" w:hAnsi="Times New Roman"/>
          <w:color w:val="000000"/>
          <w:lang w:val="en-US"/>
        </w:rPr>
        <w:t xml:space="preserve">异常</w:t>
      </w:r>
      <w:r>
        <w:rPr>
          <w:rFonts w:ascii="Times New Roman" w:hAnsi="Times New Roman"/>
          <w:color w:val="000000"/>
          <w:lang w:val="en-US"/>
        </w:rPr>
        <w:t xml:space="preserve">严峻复杂的外部环境和艰巨繁重的改革发展稳定任务，在以习近平同志为核心的党中央坚强领导下，在省委、省政府的正确领导下，市委、市政府团结带领</w:t>
      </w:r>
      <w:r>
        <w:rPr>
          <w:rFonts w:hint="eastAsia" w:ascii="Times New Roman" w:hAnsi="Times New Roman"/>
          <w:color w:val="000000"/>
        </w:rPr>
        <w:t xml:space="preserve">全市人民深入学习贯彻</w:t>
      </w:r>
      <w:r>
        <w:rPr>
          <w:rFonts w:ascii="Times New Roman" w:hAnsi="Times New Roman"/>
          <w:color w:val="000000"/>
        </w:rPr>
        <w:t xml:space="preserve">习近平新时代中国特色社会主义思想，</w:t>
      </w:r>
      <w:r>
        <w:rPr>
          <w:rFonts w:hint="eastAsia" w:ascii="Times New Roman" w:hAnsi="Times New Roman"/>
          <w:color w:val="000000"/>
          <w:lang w:val="en-US"/>
        </w:rPr>
        <w:t xml:space="preserve">坚决</w:t>
      </w:r>
      <w:r>
        <w:rPr>
          <w:rFonts w:ascii="Times New Roman" w:hAnsi="Times New Roman"/>
          <w:color w:val="000000"/>
          <w:lang w:val="en-US"/>
        </w:rPr>
        <w:t xml:space="preserve">贯彻落实</w:t>
      </w:r>
      <w:r>
        <w:rPr>
          <w:rFonts w:ascii="Times New Roman" w:hAnsi="Times New Roman"/>
          <w:color w:val="000000"/>
        </w:rPr>
        <w:t xml:space="preserve">党中央、国务院决策部署和</w:t>
      </w:r>
      <w:r>
        <w:rPr>
          <w:rFonts w:ascii="Times New Roman" w:hAnsi="Times New Roman"/>
          <w:color w:val="000000"/>
          <w:lang w:val="en-US"/>
        </w:rPr>
        <w:t xml:space="preserve">省委、省政府工作要求</w:t>
      </w:r>
      <w:r>
        <w:rPr>
          <w:rFonts w:ascii="Times New Roman" w:hAnsi="Times New Roman"/>
          <w:color w:val="000000"/>
        </w:rPr>
        <w:t xml:space="preserve">，不忘初心、牢记使命，</w:t>
      </w:r>
      <w:r>
        <w:rPr>
          <w:rFonts w:ascii="Times New Roman" w:hAnsi="Times New Roman"/>
          <w:color w:val="000000"/>
          <w:lang w:val="en-US"/>
        </w:rPr>
        <w:t xml:space="preserve">开拓创新、砥砺前行</w:t>
      </w:r>
      <w:r>
        <w:rPr>
          <w:rFonts w:ascii="Times New Roman" w:hAnsi="Times New Roman"/>
          <w:color w:val="000000"/>
        </w:rPr>
        <w:t xml:space="preserve">，坚决果断抗击新冠肺炎疫情</w:t>
      </w:r>
      <w:r>
        <w:rPr>
          <w:rFonts w:ascii="Times New Roman" w:hAnsi="Times New Roman"/>
          <w:color w:val="000000"/>
          <w:lang w:val="en-US"/>
        </w:rPr>
        <w:t xml:space="preserve">严重</w:t>
      </w:r>
      <w:r>
        <w:rPr>
          <w:rFonts w:ascii="Times New Roman" w:hAnsi="Times New Roman"/>
          <w:color w:val="000000"/>
        </w:rPr>
        <w:t xml:space="preserve">冲击，</w:t>
      </w:r>
      <w:r>
        <w:rPr>
          <w:rFonts w:hint="eastAsia" w:cs="仿宋_GB2312"/>
          <w:color w:val="000000"/>
        </w:rPr>
        <w:t xml:space="preserve">统筹推进疫情防控和经济社会发展成效明显，决战全面建成小康社会、决胜脱贫攻坚取得重大胜利，</w:t>
      </w:r>
      <w:r>
        <w:rPr>
          <w:rFonts w:hint="eastAsia" w:hAnsi="仿宋" w:cs="仿宋"/>
        </w:rPr>
        <w:t xml:space="preserve">为开启全面建设社会主义现代化新征程奠定坚实基础</w:t>
      </w:r>
      <w:r>
        <w:rPr>
          <w:rFonts w:hint="eastAsia" w:cs="仿宋_GB2312"/>
          <w:color w:val="000000"/>
        </w:rPr>
        <w:t xml:space="preserve">。</w:t>
      </w:r>
      <w:r>
        <w:rPr>
          <w:color w:val="000000"/>
        </w:rPr>
      </w:r>
      <w:r>
        <w:rPr>
          <w:color w:val="000000"/>
        </w:rPr>
      </w:r>
    </w:p>
    <w:p>
      <w:pPr>
        <w:pStyle w:val="737"/>
        <w:pBdr/>
        <w:spacing/>
        <w:ind w:firstLine="643"/>
        <w:rPr>
          <w:rFonts w:hint="eastAsia" w:cs="仿宋_GB2312"/>
          <w:color w:val="000000"/>
        </w:rPr>
      </w:pPr>
      <w:r>
        <w:rPr>
          <w:rFonts w:ascii="Times New Roman" w:hAnsi="Times New Roman" w:eastAsia="楷体_GB2312"/>
          <w:b/>
          <w:bCs/>
          <w:color w:val="000000"/>
        </w:rPr>
        <w:t xml:space="preserve">城市综合实力稳步提高</w:t>
      </w:r>
      <w:bookmarkEnd w:id="7"/>
      <w:r>
        <w:rPr>
          <w:rFonts w:hint="eastAsia" w:cs="仿宋_GB2312"/>
          <w:b/>
          <w:bCs/>
          <w:color w:val="000000"/>
        </w:rPr>
        <w:t xml:space="preserve">。</w:t>
      </w:r>
      <w:r>
        <w:rPr>
          <w:color w:val="000000"/>
        </w:rPr>
        <w:t xml:space="preserve">“</w:t>
      </w:r>
      <w:r>
        <w:rPr>
          <w:rFonts w:hint="eastAsia" w:cs="仿宋_GB2312"/>
          <w:color w:val="000000"/>
        </w:rPr>
        <w:t xml:space="preserve">十三五</w:t>
      </w:r>
      <w:r>
        <w:rPr>
          <w:color w:val="000000"/>
        </w:rPr>
        <w:t xml:space="preserve">”</w:t>
      </w:r>
      <w:r>
        <w:rPr>
          <w:rFonts w:hint="eastAsia" w:cs="仿宋_GB2312"/>
          <w:color w:val="000000"/>
        </w:rPr>
        <w:t xml:space="preserve">时期，随州经济综合实力稳步提升，地区生产总值跨过“千亿元”关口，实现人均地区生产总值</w:t>
      </w:r>
      <w:r>
        <w:rPr>
          <w:rFonts w:hint="eastAsia"/>
          <w:color w:val="000000"/>
          <w:lang w:val="en-US" w:eastAsia="zh-CN"/>
        </w:rPr>
        <w:t xml:space="preserve">54900</w:t>
      </w:r>
      <w:r>
        <w:rPr>
          <w:rFonts w:hint="eastAsia" w:cs="仿宋_GB2312"/>
          <w:color w:val="000000"/>
        </w:rPr>
        <w:t xml:space="preserve">元。经济结构更加优化，农业占地区生产总值比重明显降低，服务业占地区生产总值比重快速上升，三次产业结构由</w:t>
      </w:r>
      <w:r>
        <w:rPr>
          <w:color w:val="000000"/>
        </w:rPr>
        <w:t xml:space="preserve">2015</w:t>
      </w:r>
      <w:r>
        <w:rPr>
          <w:rFonts w:hint="eastAsia" w:cs="仿宋_GB2312"/>
          <w:color w:val="000000"/>
        </w:rPr>
        <w:t xml:space="preserve">年的</w:t>
      </w:r>
      <w:r>
        <w:rPr>
          <w:color w:val="000000"/>
        </w:rPr>
        <w:t xml:space="preserve">16.9</w:t>
      </w:r>
      <w:r>
        <w:rPr>
          <w:rFonts w:hint="eastAsia" w:cs="仿宋_GB2312"/>
          <w:color w:val="000000"/>
        </w:rPr>
        <w:t xml:space="preserve">：</w:t>
      </w:r>
      <w:r>
        <w:rPr>
          <w:color w:val="000000"/>
        </w:rPr>
        <w:t xml:space="preserve">47.9</w:t>
      </w:r>
      <w:r>
        <w:rPr>
          <w:rFonts w:hint="eastAsia" w:cs="仿宋_GB2312"/>
          <w:color w:val="000000"/>
        </w:rPr>
        <w:t xml:space="preserve">：</w:t>
      </w:r>
      <w:r>
        <w:rPr>
          <w:color w:val="000000"/>
        </w:rPr>
        <w:t xml:space="preserve">35.2</w:t>
      </w:r>
      <w:r>
        <w:rPr>
          <w:rFonts w:hint="eastAsia" w:cs="仿宋_GB2312"/>
          <w:color w:val="000000"/>
        </w:rPr>
        <w:t xml:space="preserve">调整为</w:t>
      </w:r>
      <w:r>
        <w:rPr>
          <w:rFonts w:hint="eastAsia"/>
          <w:color w:val="000000"/>
          <w:lang w:val="en-US"/>
        </w:rPr>
        <w:t xml:space="preserve">2020</w:t>
      </w:r>
      <w:r>
        <w:rPr>
          <w:rFonts w:hint="eastAsia" w:cs="仿宋_GB2312"/>
          <w:color w:val="000000"/>
        </w:rPr>
        <w:t xml:space="preserve">年的</w:t>
      </w:r>
      <w:r>
        <w:rPr>
          <w:rFonts w:hint="eastAsia"/>
          <w:color w:val="000000"/>
          <w:lang w:val="en-US"/>
        </w:rPr>
        <w:t xml:space="preserve">15</w:t>
      </w:r>
      <w:r>
        <w:rPr>
          <w:rFonts w:hint="eastAsia"/>
          <w:color w:val="000000"/>
          <w:lang w:val="en-US" w:eastAsia="zh-CN"/>
        </w:rPr>
        <w:t xml:space="preserve">.8</w:t>
      </w:r>
      <w:r>
        <w:rPr>
          <w:rFonts w:hint="eastAsia" w:cs="仿宋_GB2312"/>
          <w:color w:val="000000"/>
        </w:rPr>
        <w:t xml:space="preserve">：</w:t>
      </w:r>
      <w:r>
        <w:rPr>
          <w:rFonts w:hint="eastAsia"/>
          <w:color w:val="000000"/>
          <w:lang w:val="en-US"/>
        </w:rPr>
        <w:t xml:space="preserve">4</w:t>
      </w:r>
      <w:r>
        <w:rPr>
          <w:rFonts w:hint="eastAsia"/>
          <w:color w:val="000000"/>
          <w:lang w:val="en-US" w:eastAsia="zh-CN"/>
        </w:rPr>
        <w:t xml:space="preserve">3.5</w:t>
      </w:r>
      <w:r>
        <w:rPr>
          <w:rFonts w:hint="eastAsia" w:cs="仿宋_GB2312"/>
          <w:color w:val="000000"/>
        </w:rPr>
        <w:t xml:space="preserve">：</w:t>
      </w:r>
      <w:r>
        <w:rPr>
          <w:rFonts w:hint="eastAsia" w:cs="仿宋_GB2312"/>
          <w:color w:val="000000"/>
          <w:lang w:val="en-US" w:eastAsia="zh-CN"/>
        </w:rPr>
        <w:t xml:space="preserve">40.7</w:t>
      </w:r>
      <w:r>
        <w:rPr>
          <w:rFonts w:hint="eastAsia" w:cs="仿宋_GB2312"/>
          <w:color w:val="000000"/>
        </w:rPr>
        <w:t xml:space="preserve">。城市地位和影响力显著提高，被国家纳入长江经济带、汉江生态经济带、淮河生态经济带、大别山革命老区振兴发展战略，创建专用汽车产业集群区域品牌建设示范区、中国特色农产品优势区，</w:t>
      </w:r>
      <w:r>
        <w:rPr>
          <w:rFonts w:hint="eastAsia" w:cs="仿宋_GB2312"/>
          <w:color w:val="000000"/>
          <w:lang w:val="en-US"/>
        </w:rPr>
        <w:t xml:space="preserve">国家应急产业示范基地通过验收</w:t>
      </w:r>
      <w:r>
        <w:rPr>
          <w:rFonts w:hint="eastAsia" w:cs="仿宋_GB2312"/>
          <w:color w:val="000000"/>
        </w:rPr>
        <w:t xml:space="preserve">，在湖北省区域发展布局中的战略地位进一步凸显。</w:t>
      </w:r>
      <w:bookmarkStart w:id="8" w:name="_Toc2462"/>
      <w:r>
        <w:rPr>
          <w:rFonts w:hint="eastAsia" w:cs="仿宋_GB2312"/>
          <w:color w:val="000000"/>
        </w:rPr>
      </w:r>
      <w:r>
        <w:rPr>
          <w:rFonts w:hint="eastAsia" w:cs="仿宋_GB2312"/>
          <w:color w:val="000000"/>
        </w:rPr>
      </w:r>
    </w:p>
    <w:p>
      <w:pPr>
        <w:pStyle w:val="737"/>
        <w:pBdr/>
        <w:spacing/>
        <w:ind w:firstLine="643"/>
        <w:rPr>
          <w:color w:val="000000"/>
        </w:rPr>
      </w:pPr>
      <w:r>
        <w:rPr>
          <w:rFonts w:hint="eastAsia" w:ascii="Times New Roman" w:hAnsi="Times New Roman" w:eastAsia="楷体_GB2312"/>
          <w:b/>
          <w:bCs/>
          <w:color w:val="000000"/>
        </w:rPr>
        <w:t xml:space="preserve">特色产业体系加快形成</w:t>
      </w:r>
      <w:bookmarkEnd w:id="8"/>
      <w:r>
        <w:rPr>
          <w:rFonts w:hint="eastAsia" w:cs="仿宋_GB2312"/>
          <w:b/>
          <w:bCs/>
          <w:color w:val="000000"/>
        </w:rPr>
        <w:t xml:space="preserve">。</w:t>
      </w:r>
      <w:r>
        <w:rPr>
          <w:color w:val="000000"/>
        </w:rPr>
        <w:t xml:space="preserve">“</w:t>
      </w:r>
      <w:r>
        <w:rPr>
          <w:rFonts w:hint="eastAsia" w:cs="仿宋_GB2312"/>
          <w:color w:val="000000"/>
        </w:rPr>
        <w:t xml:space="preserve">十三五</w:t>
      </w:r>
      <w:r>
        <w:rPr>
          <w:color w:val="000000"/>
        </w:rPr>
        <w:t xml:space="preserve">”</w:t>
      </w:r>
      <w:r>
        <w:rPr>
          <w:rFonts w:hint="eastAsia" w:cs="仿宋_GB2312"/>
          <w:color w:val="000000"/>
        </w:rPr>
        <w:t xml:space="preserve">时期，随州坚持特色领航，大力发展先进制造业、现代服务业和现代农业，加快推进传统产业转型升级，战略性新兴产业发展壮大，现代产业体系更加完备，产业发展逐步迈向产业链和价值链中高端。创新发展能力提升，高新技术企业突破</w:t>
      </w:r>
      <w:r>
        <w:rPr>
          <w:color w:val="000000"/>
        </w:rPr>
        <w:t xml:space="preserve">100</w:t>
      </w:r>
      <w:r>
        <w:rPr>
          <w:rFonts w:hint="eastAsia" w:cs="仿宋_GB2312"/>
          <w:color w:val="000000"/>
        </w:rPr>
        <w:t xml:space="preserve">家，</w:t>
      </w:r>
      <w:r>
        <w:rPr>
          <w:rFonts w:hint="eastAsia"/>
          <w:color w:val="000000"/>
          <w:lang w:val="en-US"/>
        </w:rPr>
        <w:t xml:space="preserve">34</w:t>
      </w:r>
      <w:r>
        <w:rPr>
          <w:rFonts w:hint="eastAsia" w:cs="仿宋_GB2312"/>
          <w:color w:val="000000"/>
        </w:rPr>
        <w:t xml:space="preserve">家企业跻身全省支柱产业细分领域隐形冠军，程力集团入围</w:t>
      </w:r>
      <w:r>
        <w:rPr>
          <w:color w:val="000000"/>
        </w:rPr>
        <w:t xml:space="preserve">2019</w:t>
      </w:r>
      <w:r>
        <w:rPr>
          <w:rFonts w:hint="eastAsia" w:cs="仿宋_GB2312"/>
          <w:color w:val="000000"/>
        </w:rPr>
        <w:t xml:space="preserve">年中国民营企业</w:t>
      </w:r>
      <w:r>
        <w:rPr>
          <w:color w:val="000000"/>
        </w:rPr>
        <w:t xml:space="preserve">500</w:t>
      </w:r>
      <w:r>
        <w:rPr>
          <w:rFonts w:hint="eastAsia" w:cs="仿宋_GB2312"/>
          <w:color w:val="000000"/>
        </w:rPr>
        <w:t xml:space="preserve">强，泰晶科技、江南专汽、三峰透平成为全国专精特新</w:t>
      </w:r>
      <w:r>
        <w:rPr>
          <w:color w:val="000000"/>
        </w:rPr>
        <w:t xml:space="preserve">“</w:t>
      </w:r>
      <w:r>
        <w:rPr>
          <w:rFonts w:hint="eastAsia" w:cs="仿宋_GB2312"/>
          <w:color w:val="000000"/>
        </w:rPr>
        <w:t xml:space="preserve">小巨人</w:t>
      </w:r>
      <w:r>
        <w:rPr>
          <w:color w:val="000000"/>
        </w:rPr>
        <w:t xml:space="preserve">”</w:t>
      </w:r>
      <w:r>
        <w:rPr>
          <w:rFonts w:hint="eastAsia" w:cs="仿宋_GB2312"/>
          <w:color w:val="000000"/>
        </w:rPr>
        <w:t xml:space="preserve">企业。工业支撑作用凸显，规模以上工业企业总数达到</w:t>
      </w:r>
      <w:r>
        <w:rPr>
          <w:color w:val="000000"/>
        </w:rPr>
        <w:t xml:space="preserve">70</w:t>
      </w:r>
      <w:r>
        <w:rPr>
          <w:rFonts w:hint="eastAsia"/>
          <w:color w:val="000000"/>
          <w:lang w:val="en-US" w:eastAsia="zh-CN"/>
        </w:rPr>
        <w:t xml:space="preserve">4</w:t>
      </w:r>
      <w:r>
        <w:rPr>
          <w:rFonts w:hint="eastAsia" w:cs="仿宋_GB2312"/>
          <w:color w:val="000000"/>
        </w:rPr>
        <w:t xml:space="preserve">家，专汽及零部件、香菇、风机、铸造、电子信息五大省级成长型产业集群快速壮大，专汽、农产品加工产值均突破</w:t>
      </w:r>
      <w:r>
        <w:rPr>
          <w:rFonts w:hint="eastAsia" w:cs="仿宋_GB2312"/>
          <w:color w:val="000000"/>
          <w:lang w:val="en-US" w:eastAsia="zh-CN"/>
        </w:rPr>
        <w:t xml:space="preserve">400</w:t>
      </w:r>
      <w:r>
        <w:rPr>
          <w:rFonts w:hint="eastAsia" w:cs="仿宋_GB2312"/>
          <w:color w:val="000000"/>
          <w:lang w:val="en-US"/>
        </w:rPr>
        <w:t xml:space="preserve">亿元，</w:t>
      </w:r>
      <w:r>
        <w:rPr>
          <w:rFonts w:hint="eastAsia" w:cs="仿宋_GB2312"/>
          <w:color w:val="000000"/>
        </w:rPr>
        <w:t xml:space="preserve">新能源发电量居全省第一位。现代服务业快速发展，文化旅游异军突起，</w:t>
      </w:r>
      <w:r>
        <w:rPr>
          <w:rFonts w:hint="eastAsia" w:cs="仿宋_GB2312"/>
          <w:color w:val="000000"/>
          <w:lang w:eastAsia="zh-CN"/>
        </w:rPr>
        <w:t xml:space="preserve">世界华人</w:t>
      </w:r>
      <w:r>
        <w:rPr>
          <w:rFonts w:hint="eastAsia" w:hAnsi="仿宋" w:cs="仿宋"/>
        </w:rPr>
        <w:t xml:space="preserve">炎帝故里寻根节成为全省重要文化名片</w:t>
      </w:r>
      <w:r>
        <w:rPr>
          <w:rFonts w:hint="eastAsia" w:cs="仿宋_GB2312"/>
          <w:color w:val="000000"/>
        </w:rPr>
        <w:t xml:space="preserve">，随州博物馆荣升国家一级博物馆，田王寨景区成功创建国家</w:t>
      </w:r>
      <w:r>
        <w:rPr>
          <w:rFonts w:hint="eastAsia" w:cs="仿宋_GB2312"/>
          <w:color w:val="000000"/>
          <w:lang w:val="en-US"/>
        </w:rPr>
        <w:t xml:space="preserve">4A级景区，随州</w:t>
      </w:r>
      <w:r>
        <w:rPr>
          <w:rFonts w:hint="eastAsia" w:cs="仿宋_GB2312"/>
          <w:color w:val="000000"/>
        </w:rPr>
        <w:t xml:space="preserve">荣膺央视魅力中国城竞演</w:t>
      </w:r>
      <w:r>
        <w:rPr>
          <w:color w:val="000000"/>
        </w:rPr>
        <w:t xml:space="preserve">“</w:t>
      </w:r>
      <w:r>
        <w:rPr>
          <w:rFonts w:hint="eastAsia" w:cs="仿宋_GB2312"/>
          <w:color w:val="000000"/>
        </w:rPr>
        <w:t xml:space="preserve">十佳魅力城市</w:t>
      </w:r>
      <w:r>
        <w:rPr>
          <w:color w:val="000000"/>
        </w:rPr>
        <w:t xml:space="preserve">”</w:t>
      </w:r>
      <w:r>
        <w:rPr>
          <w:rFonts w:hint="eastAsia" w:cs="仿宋_GB2312"/>
          <w:color w:val="000000"/>
        </w:rPr>
        <w:t xml:space="preserve">。现代农业稳步发展，广水市跻身全国农村创业创新典型县市，随县被评为全省</w:t>
      </w:r>
      <w:r>
        <w:rPr>
          <w:color w:val="000000"/>
        </w:rPr>
        <w:t xml:space="preserve">“</w:t>
      </w:r>
      <w:r>
        <w:rPr>
          <w:rFonts w:hint="eastAsia" w:cs="仿宋_GB2312"/>
          <w:color w:val="000000"/>
        </w:rPr>
        <w:t xml:space="preserve">三农</w:t>
      </w:r>
      <w:r>
        <w:rPr>
          <w:color w:val="000000"/>
        </w:rPr>
        <w:t xml:space="preserve">”</w:t>
      </w:r>
      <w:r>
        <w:rPr>
          <w:rFonts w:hint="eastAsia" w:cs="仿宋_GB2312"/>
          <w:color w:val="000000"/>
        </w:rPr>
        <w:t xml:space="preserve">发展进位显著县；</w:t>
      </w:r>
      <w:r>
        <w:rPr>
          <w:color w:val="000000"/>
        </w:rPr>
        <w:t xml:space="preserve">“</w:t>
      </w:r>
      <w:r>
        <w:rPr>
          <w:rFonts w:hint="eastAsia" w:cs="仿宋_GB2312"/>
          <w:color w:val="000000"/>
        </w:rPr>
        <w:t xml:space="preserve">随州香稻</w:t>
      </w:r>
      <w:r>
        <w:rPr>
          <w:color w:val="000000"/>
        </w:rPr>
        <w:t xml:space="preserve">”</w:t>
      </w:r>
      <w:r>
        <w:rPr>
          <w:rFonts w:hint="eastAsia"/>
          <w:color w:val="000000"/>
        </w:rPr>
        <w:t xml:space="preserve">“随州油桃”“随县泡泡青”</w:t>
      </w:r>
      <w:r>
        <w:rPr>
          <w:rFonts w:hint="eastAsia" w:cs="仿宋_GB2312"/>
          <w:color w:val="000000"/>
        </w:rPr>
        <w:t xml:space="preserve">成功注册国家地理标志证明商标，</w:t>
      </w:r>
      <w:r>
        <w:rPr>
          <w:color w:val="000000"/>
        </w:rPr>
        <w:t xml:space="preserve">“</w:t>
      </w:r>
      <w:r>
        <w:rPr>
          <w:rFonts w:hint="eastAsia" w:cs="仿宋_GB2312"/>
          <w:color w:val="000000"/>
        </w:rPr>
        <w:t xml:space="preserve">随州香菇</w:t>
      </w:r>
      <w:r>
        <w:rPr>
          <w:color w:val="000000"/>
        </w:rPr>
        <w:t xml:space="preserve">”</w:t>
      </w:r>
      <w:r>
        <w:rPr>
          <w:rFonts w:hint="eastAsia"/>
          <w:color w:val="000000"/>
        </w:rPr>
        <w:t xml:space="preserve">“随县香菇”</w:t>
      </w:r>
      <w:r>
        <w:rPr>
          <w:rFonts w:hint="eastAsia" w:cs="仿宋_GB2312"/>
          <w:color w:val="000000"/>
        </w:rPr>
        <w:t xml:space="preserve">入选中国特色农产品区域公用品牌和农产品地理标志，香菇全产业链产值超过</w:t>
      </w:r>
      <w:r>
        <w:rPr>
          <w:color w:val="000000"/>
        </w:rPr>
        <w:t xml:space="preserve">300</w:t>
      </w:r>
      <w:r>
        <w:rPr>
          <w:rFonts w:hint="eastAsia" w:cs="仿宋_GB2312"/>
          <w:color w:val="000000"/>
        </w:rPr>
        <w:t xml:space="preserve">亿元，年出口创汇</w:t>
      </w:r>
      <w:r>
        <w:rPr>
          <w:color w:val="000000"/>
        </w:rPr>
        <w:t xml:space="preserve">6</w:t>
      </w:r>
      <w:r>
        <w:rPr>
          <w:rFonts w:hint="eastAsia" w:cs="仿宋_GB2312"/>
          <w:color w:val="000000"/>
        </w:rPr>
        <w:t xml:space="preserve">亿美元以上。</w:t>
      </w:r>
      <w:r>
        <w:rPr>
          <w:color w:val="000000"/>
        </w:rPr>
      </w:r>
      <w:r>
        <w:rPr>
          <w:color w:val="000000"/>
        </w:rPr>
      </w:r>
    </w:p>
    <w:p>
      <w:pPr>
        <w:pStyle w:val="737"/>
        <w:pBdr/>
        <w:spacing/>
        <w:ind w:firstLine="643"/>
        <w:rPr>
          <w:color w:val="000000"/>
        </w:rPr>
      </w:pPr>
      <w:r/>
      <w:bookmarkStart w:id="9" w:name="_Toc4901"/>
      <w:r>
        <w:rPr>
          <w:rFonts w:hint="eastAsia" w:ascii="Times New Roman" w:hAnsi="Times New Roman" w:eastAsia="楷体_GB2312"/>
          <w:b/>
          <w:bCs/>
          <w:color w:val="000000"/>
        </w:rPr>
        <w:t xml:space="preserve">三大攻坚战取得</w:t>
      </w:r>
      <w:bookmarkEnd w:id="9"/>
      <w:r>
        <w:rPr>
          <w:rFonts w:hint="eastAsia" w:ascii="Times New Roman" w:hAnsi="Times New Roman" w:eastAsia="楷体_GB2312"/>
          <w:b/>
          <w:bCs/>
          <w:color w:val="000000"/>
        </w:rPr>
        <w:t xml:space="preserve">突破性进展</w:t>
      </w:r>
      <w:r>
        <w:rPr>
          <w:rFonts w:hint="eastAsia" w:cs="仿宋_GB2312"/>
          <w:b/>
          <w:bCs/>
          <w:color w:val="000000"/>
        </w:rPr>
        <w:t xml:space="preserve">。</w:t>
      </w:r>
      <w:r>
        <w:rPr>
          <w:color w:val="000000"/>
        </w:rPr>
        <w:t xml:space="preserve">“</w:t>
      </w:r>
      <w:r>
        <w:rPr>
          <w:rFonts w:hint="eastAsia" w:cs="仿宋_GB2312"/>
          <w:color w:val="000000"/>
        </w:rPr>
        <w:t xml:space="preserve">十三五</w:t>
      </w:r>
      <w:r>
        <w:rPr>
          <w:color w:val="000000"/>
        </w:rPr>
        <w:t xml:space="preserve">”</w:t>
      </w:r>
      <w:r>
        <w:rPr>
          <w:rFonts w:hint="eastAsia" w:cs="仿宋_GB2312"/>
          <w:color w:val="000000"/>
        </w:rPr>
        <w:t xml:space="preserve">时期，随州集中力量坚决打好防范化解重大风险、精准脱贫、污染防治攻坚战，取得决定性成果。</w:t>
      </w:r>
      <w:r>
        <w:rPr>
          <w:rFonts w:hint="eastAsia" w:hAnsi="仿宋" w:cs="仿宋"/>
        </w:rPr>
        <w:t xml:space="preserve">各类重大风险得到有效防范化解</w:t>
      </w:r>
      <w:r>
        <w:rPr>
          <w:rFonts w:hint="eastAsia" w:cs="仿宋_GB2312"/>
          <w:color w:val="000000"/>
        </w:rPr>
        <w:t xml:space="preserve">，非法集资等金融领域违法活动得到进一步遏制，政府债务规模控制在合理范围。脱贫攻坚取得重大胜利，全面完成精准脱贫任务，</w:t>
      </w:r>
      <w:r>
        <w:rPr>
          <w:color w:val="000000"/>
        </w:rPr>
        <w:t xml:space="preserve">126</w:t>
      </w:r>
      <w:r>
        <w:rPr>
          <w:rFonts w:hint="eastAsia" w:cs="仿宋_GB2312"/>
          <w:color w:val="000000"/>
        </w:rPr>
        <w:t xml:space="preserve">个贫困村出列、</w:t>
      </w:r>
      <w:r>
        <w:rPr>
          <w:color w:val="000000"/>
        </w:rPr>
        <w:t xml:space="preserve">18.5</w:t>
      </w:r>
      <w:r>
        <w:rPr>
          <w:rFonts w:hint="eastAsia" w:cs="仿宋_GB2312"/>
          <w:color w:val="000000"/>
        </w:rPr>
        <w:t xml:space="preserve">万建档立卡贫困人口实现脱贫，易地扶贫搬迁</w:t>
      </w:r>
      <w:r>
        <w:rPr>
          <w:color w:val="000000"/>
        </w:rPr>
        <w:t xml:space="preserve">8755</w:t>
      </w:r>
      <w:r>
        <w:rPr>
          <w:rFonts w:hint="eastAsia" w:cs="仿宋_GB2312"/>
          <w:color w:val="000000"/>
        </w:rPr>
        <w:t xml:space="preserve">户、</w:t>
      </w:r>
      <w:r>
        <w:rPr>
          <w:color w:val="000000"/>
        </w:rPr>
        <w:t xml:space="preserve">17642</w:t>
      </w:r>
      <w:r>
        <w:rPr>
          <w:rFonts w:hint="eastAsia" w:cs="仿宋_GB2312"/>
          <w:color w:val="000000"/>
        </w:rPr>
        <w:t xml:space="preserve">人，产业扶贫成效显著。污染防治取得明显成效，主要污染物排放总量达到省考核要求，城区空气</w:t>
      </w:r>
      <w:r>
        <w:rPr>
          <w:color w:val="000000"/>
        </w:rPr>
        <w:t xml:space="preserve">PM2.5</w:t>
      </w:r>
      <w:r>
        <w:rPr>
          <w:rFonts w:hint="eastAsia" w:cs="仿宋_GB2312"/>
          <w:color w:val="000000"/>
        </w:rPr>
        <w:t xml:space="preserve">年均浓度、优良天数比例达到省定目标，受污染耕地、污染地块安全利用率均达到</w:t>
      </w:r>
      <w:r>
        <w:rPr>
          <w:color w:val="000000"/>
        </w:rPr>
        <w:t xml:space="preserve">90%</w:t>
      </w:r>
      <w:r>
        <w:rPr>
          <w:rFonts w:hint="eastAsia" w:cs="仿宋_GB2312"/>
          <w:color w:val="000000"/>
        </w:rPr>
        <w:t xml:space="preserve">以上，污水处理厂提标升级达到一级</w:t>
      </w:r>
      <w:r>
        <w:rPr>
          <w:rFonts w:hint="eastAsia" w:cs="仿宋_GB2312"/>
          <w:color w:val="000000"/>
          <w:lang w:val="en-US"/>
        </w:rPr>
        <w:t xml:space="preserve">A标准排放</w:t>
      </w:r>
      <w:r>
        <w:rPr>
          <w:rFonts w:hint="eastAsia" w:cs="仿宋_GB2312"/>
          <w:color w:val="000000"/>
        </w:rPr>
        <w:t xml:space="preserve">，污水处理率达到</w:t>
      </w:r>
      <w:r>
        <w:rPr>
          <w:rFonts w:hint="eastAsia" w:cs="仿宋_GB2312"/>
          <w:color w:val="000000"/>
          <w:lang w:val="en-US"/>
        </w:rPr>
        <w:t xml:space="preserve">95%以上，14条城市黑臭水体治理完成，37个乡镇污水处理厂全部投入运营，</w:t>
      </w:r>
      <w:r>
        <w:rPr>
          <w:rFonts w:hint="eastAsia" w:cs="仿宋_GB2312"/>
          <w:color w:val="000000"/>
        </w:rPr>
        <w:t xml:space="preserve">县级以上集中式饮用水水源地水质全部达标。</w:t>
      </w:r>
      <w:r>
        <w:rPr>
          <w:color w:val="000000"/>
        </w:rPr>
      </w:r>
      <w:r>
        <w:rPr>
          <w:color w:val="000000"/>
        </w:rPr>
      </w:r>
    </w:p>
    <w:p>
      <w:pPr>
        <w:pStyle w:val="737"/>
        <w:pBdr/>
        <w:spacing/>
        <w:ind w:firstLine="643"/>
        <w:rPr>
          <w:color w:val="000000"/>
        </w:rPr>
      </w:pPr>
      <w:r/>
      <w:bookmarkStart w:id="10" w:name="_Toc13417"/>
      <w:r>
        <w:rPr>
          <w:rFonts w:hint="eastAsia" w:ascii="Times New Roman" w:hAnsi="Times New Roman" w:eastAsia="楷体_GB2312"/>
          <w:b/>
          <w:bCs/>
          <w:color w:val="000000"/>
        </w:rPr>
        <w:t xml:space="preserve">城乡融合发展水平提升</w:t>
      </w:r>
      <w:bookmarkEnd w:id="10"/>
      <w:r>
        <w:rPr>
          <w:rFonts w:hint="eastAsia" w:cs="仿宋_GB2312"/>
          <w:b/>
          <w:bCs/>
          <w:color w:val="000000"/>
        </w:rPr>
        <w:t xml:space="preserve">。</w:t>
      </w:r>
      <w:r>
        <w:rPr>
          <w:color w:val="000000"/>
        </w:rPr>
        <w:t xml:space="preserve">“</w:t>
      </w:r>
      <w:r>
        <w:rPr>
          <w:rFonts w:hint="eastAsia" w:cs="仿宋_GB2312"/>
          <w:color w:val="000000"/>
        </w:rPr>
        <w:t xml:space="preserve">十三五</w:t>
      </w:r>
      <w:r>
        <w:rPr>
          <w:color w:val="000000"/>
        </w:rPr>
        <w:t xml:space="preserve">”</w:t>
      </w:r>
      <w:r>
        <w:rPr>
          <w:rFonts w:hint="eastAsia" w:cs="仿宋_GB2312"/>
          <w:color w:val="000000"/>
        </w:rPr>
        <w:t xml:space="preserve">时期，</w:t>
      </w:r>
      <w:bookmarkStart w:id="11" w:name="_Hlk56777123"/>
      <w:r>
        <w:rPr>
          <w:rFonts w:hint="eastAsia" w:cs="仿宋_GB2312"/>
          <w:color w:val="000000"/>
        </w:rPr>
        <w:t xml:space="preserve">随州稳步推进国家新型城镇化试点</w:t>
      </w:r>
      <w:bookmarkEnd w:id="11"/>
      <w:r>
        <w:rPr>
          <w:rFonts w:hint="eastAsia" w:cs="仿宋_GB2312"/>
          <w:color w:val="000000"/>
        </w:rPr>
        <w:t xml:space="preserve">建设，全面实施乡村振兴战略，城乡基础设施更加完善。新型城镇化建设取得重要进展，试点工作通过国家验收，典型经验在全国推广。城市功能不断完善，</w:t>
      </w:r>
      <w:r>
        <w:rPr>
          <w:color w:val="000000"/>
        </w:rPr>
        <w:t xml:space="preserve">“</w:t>
      </w:r>
      <w:r>
        <w:rPr>
          <w:rFonts w:hint="eastAsia" w:cs="仿宋_GB2312"/>
          <w:color w:val="000000"/>
        </w:rPr>
        <w:t xml:space="preserve">双百</w:t>
      </w:r>
      <w:r>
        <w:rPr>
          <w:color w:val="000000"/>
        </w:rPr>
        <w:t xml:space="preserve">”</w:t>
      </w:r>
      <w:r>
        <w:rPr>
          <w:rFonts w:hint="eastAsia" w:cs="仿宋_GB2312"/>
          <w:color w:val="000000"/>
        </w:rPr>
        <w:t xml:space="preserve">中心城市建设取得阶段性成果，</w:t>
      </w:r>
      <w:r>
        <w:rPr>
          <w:rFonts w:hint="eastAsia" w:cs="仿宋_GB2312"/>
          <w:color w:val="000000"/>
          <w:lang w:val="en-US"/>
        </w:rPr>
        <w:t xml:space="preserve">中心城区建成区面积扩展到</w:t>
      </w:r>
      <w:r>
        <w:rPr>
          <w:color w:val="000000"/>
          <w:lang w:val="en-US"/>
        </w:rPr>
        <w:t xml:space="preserve">80.28</w:t>
      </w:r>
      <w:r>
        <w:rPr>
          <w:rFonts w:hint="eastAsia" w:cs="仿宋_GB2312"/>
          <w:color w:val="000000"/>
          <w:lang w:val="en-US"/>
        </w:rPr>
        <w:t xml:space="preserve">平方公里，中心城区供水普及率和燃气普及率分别达到</w:t>
      </w:r>
      <w:r>
        <w:rPr>
          <w:color w:val="000000"/>
          <w:lang w:val="en-US"/>
        </w:rPr>
        <w:t xml:space="preserve">100%</w:t>
      </w:r>
      <w:r>
        <w:rPr>
          <w:rFonts w:hint="eastAsia" w:cs="仿宋_GB2312"/>
          <w:color w:val="000000"/>
          <w:lang w:val="en-US"/>
        </w:rPr>
        <w:t xml:space="preserve">和</w:t>
      </w:r>
      <w:r>
        <w:rPr>
          <w:color w:val="000000"/>
          <w:lang w:val="en-US"/>
        </w:rPr>
        <w:t xml:space="preserve">98%</w:t>
      </w:r>
      <w:r>
        <w:rPr>
          <w:rFonts w:hint="eastAsia" w:cs="仿宋_GB2312"/>
          <w:color w:val="000000"/>
          <w:lang w:val="en-US"/>
        </w:rPr>
        <w:t xml:space="preserve">；</w:t>
      </w:r>
      <w:r>
        <w:rPr>
          <w:rFonts w:hint="eastAsia" w:cs="仿宋_GB2312"/>
          <w:color w:val="000000"/>
        </w:rPr>
        <w:t xml:space="preserve">海绵城市建设有序推进，完成绕城南路、文帝大道、广水永阳大道等城市道路地下综合管廊工程。区域性交通枢纽能级提升，汉十高铁全线通车，完成武汉城市圈环线高速大随至汉十段、</w:t>
      </w:r>
      <w:r>
        <w:rPr>
          <w:color w:val="000000"/>
        </w:rPr>
        <w:t xml:space="preserve">316</w:t>
      </w:r>
      <w:r>
        <w:rPr>
          <w:rFonts w:hint="eastAsia" w:cs="仿宋_GB2312"/>
          <w:color w:val="000000"/>
        </w:rPr>
        <w:t xml:space="preserve">国道十岗至厉山段和</w:t>
      </w:r>
      <w:r>
        <w:rPr>
          <w:color w:val="000000"/>
        </w:rPr>
        <w:t xml:space="preserve">107</w:t>
      </w:r>
      <w:r>
        <w:rPr>
          <w:rFonts w:hint="eastAsia" w:cs="仿宋_GB2312"/>
          <w:color w:val="000000"/>
        </w:rPr>
        <w:t xml:space="preserve">国道广水段改造等交通项目，以铁路为骨架，以公路为主干的综合交通网络体系基本形成，融入武汉“半小时经济圈”。城市管理不断优化，数字城管系统建立运行，</w:t>
      </w:r>
      <w:r>
        <w:rPr>
          <w:color w:val="000000"/>
        </w:rPr>
        <w:t xml:space="preserve">“</w:t>
      </w:r>
      <w:r>
        <w:rPr>
          <w:rFonts w:hint="eastAsia" w:cs="仿宋_GB2312"/>
          <w:color w:val="000000"/>
        </w:rPr>
        <w:t xml:space="preserve">市区一体、以区为主</w:t>
      </w:r>
      <w:r>
        <w:rPr>
          <w:color w:val="000000"/>
        </w:rPr>
        <w:t xml:space="preserve">”</w:t>
      </w:r>
      <w:r>
        <w:rPr>
          <w:rFonts w:hint="eastAsia" w:cs="仿宋_GB2312"/>
          <w:color w:val="000000"/>
        </w:rPr>
        <w:t xml:space="preserve">的城管体制改革取得重要成效，城管执法迈向规范化、法</w:t>
      </w:r>
      <w:r>
        <w:rPr>
          <w:rFonts w:hint="eastAsia" w:cs="仿宋_GB2312"/>
          <w:color w:val="000000"/>
          <w:lang w:eastAsia="zh-CN"/>
        </w:rPr>
        <w:t xml:space="preserve">治</w:t>
      </w:r>
      <w:r>
        <w:rPr>
          <w:rFonts w:hint="eastAsia" w:cs="仿宋_GB2312"/>
          <w:color w:val="000000"/>
        </w:rPr>
        <w:t xml:space="preserve">化、智慧化。“擦亮小城镇”建设全面推进，乡村振兴战略加快实施，农村人居环境整治三年行动取得重大成果，镇、村综合实力显著提升，淅河镇、洪山镇连续四年跻身全国综合实力千强镇，随县洪山镇、广水市杨寨镇列为全省经济发达镇行政管理体制改革试点，曾都区洛阳镇获评</w:t>
      </w:r>
      <w:r>
        <w:rPr>
          <w:color w:val="000000"/>
        </w:rPr>
        <w:t xml:space="preserve">“</w:t>
      </w:r>
      <w:r>
        <w:rPr>
          <w:rFonts w:hint="eastAsia" w:cs="仿宋_GB2312"/>
          <w:color w:val="000000"/>
        </w:rPr>
        <w:t xml:space="preserve">全国乡村治理示范乡镇</w:t>
      </w:r>
      <w:r>
        <w:rPr>
          <w:color w:val="000000"/>
        </w:rPr>
        <w:t xml:space="preserve">”</w:t>
      </w:r>
      <w:r>
        <w:rPr>
          <w:rFonts w:hint="eastAsia" w:cs="仿宋_GB2312"/>
          <w:color w:val="000000"/>
        </w:rPr>
        <w:t xml:space="preserve">，广水市郝店镇获评“全国卫生镇”，大洪山长岗镇创建中国特色小城镇，</w:t>
      </w:r>
      <w:r>
        <w:rPr>
          <w:color w:val="000000"/>
        </w:rPr>
        <w:t xml:space="preserve">3</w:t>
      </w:r>
      <w:r>
        <w:rPr>
          <w:rFonts w:hint="eastAsia" w:cs="仿宋_GB2312"/>
          <w:color w:val="000000"/>
        </w:rPr>
        <w:t xml:space="preserve">个镇入选全省首批</w:t>
      </w:r>
      <w:r>
        <w:rPr>
          <w:color w:val="000000"/>
        </w:rPr>
        <w:t xml:space="preserve">“</w:t>
      </w:r>
      <w:r>
        <w:rPr>
          <w:rFonts w:hint="eastAsia" w:cs="仿宋_GB2312"/>
          <w:color w:val="000000"/>
        </w:rPr>
        <w:t xml:space="preserve">擦亮小城镇</w:t>
      </w:r>
      <w:r>
        <w:rPr>
          <w:color w:val="000000"/>
        </w:rPr>
        <w:t xml:space="preserve">”</w:t>
      </w:r>
      <w:r>
        <w:rPr>
          <w:rFonts w:hint="eastAsia" w:cs="仿宋_GB2312"/>
          <w:color w:val="000000"/>
        </w:rPr>
        <w:t xml:space="preserve">建设试点，广水市观音村获评</w:t>
      </w:r>
      <w:r>
        <w:rPr>
          <w:color w:val="000000"/>
        </w:rPr>
        <w:t xml:space="preserve">“</w:t>
      </w:r>
      <w:r>
        <w:rPr>
          <w:rFonts w:hint="eastAsia" w:cs="仿宋_GB2312"/>
          <w:color w:val="000000"/>
        </w:rPr>
        <w:t xml:space="preserve">中国美丽休闲乡村</w:t>
      </w:r>
      <w:r>
        <w:rPr>
          <w:color w:val="000000"/>
        </w:rPr>
        <w:t xml:space="preserve">”</w:t>
      </w:r>
      <w:r>
        <w:rPr>
          <w:rFonts w:hint="eastAsia" w:cs="仿宋_GB2312"/>
          <w:color w:val="000000"/>
        </w:rPr>
        <w:t xml:space="preserve">，</w:t>
      </w:r>
      <w:r>
        <w:rPr>
          <w:color w:val="000000"/>
        </w:rPr>
        <w:t xml:space="preserve">14</w:t>
      </w:r>
      <w:r>
        <w:rPr>
          <w:rFonts w:hint="eastAsia" w:cs="仿宋_GB2312"/>
          <w:color w:val="000000"/>
        </w:rPr>
        <w:t xml:space="preserve">个村入选省美丽乡村建设试点。</w:t>
      </w:r>
      <w:r>
        <w:rPr>
          <w:color w:val="000000"/>
        </w:rPr>
      </w:r>
      <w:r>
        <w:rPr>
          <w:color w:val="000000"/>
        </w:rPr>
      </w:r>
    </w:p>
    <w:p>
      <w:pPr>
        <w:pStyle w:val="737"/>
        <w:pBdr/>
        <w:spacing/>
        <w:ind w:firstLine="643"/>
        <w:rPr>
          <w:color w:val="000000"/>
        </w:rPr>
      </w:pPr>
      <w:r/>
      <w:bookmarkStart w:id="12" w:name="_Toc1554"/>
      <w:r>
        <w:rPr>
          <w:rFonts w:hint="eastAsia" w:ascii="Times New Roman" w:hAnsi="Times New Roman" w:eastAsia="楷体_GB2312"/>
          <w:b/>
          <w:bCs/>
          <w:color w:val="000000"/>
        </w:rPr>
        <w:t xml:space="preserve">改革开放创新不断深化</w:t>
      </w:r>
      <w:bookmarkEnd w:id="12"/>
      <w:r>
        <w:rPr>
          <w:rFonts w:hint="eastAsia" w:cs="仿宋_GB2312"/>
          <w:b/>
          <w:bCs/>
          <w:color w:val="000000"/>
        </w:rPr>
        <w:t xml:space="preserve">。</w:t>
      </w:r>
      <w:r>
        <w:rPr>
          <w:color w:val="000000"/>
        </w:rPr>
        <w:t xml:space="preserve">“</w:t>
      </w:r>
      <w:r>
        <w:rPr>
          <w:rFonts w:hint="eastAsia" w:cs="仿宋_GB2312"/>
          <w:color w:val="000000"/>
        </w:rPr>
        <w:t xml:space="preserve">十三五</w:t>
      </w:r>
      <w:r>
        <w:rPr>
          <w:color w:val="000000"/>
        </w:rPr>
        <w:t xml:space="preserve">”</w:t>
      </w:r>
      <w:r>
        <w:rPr>
          <w:rFonts w:hint="eastAsia" w:cs="仿宋_GB2312"/>
          <w:color w:val="000000"/>
        </w:rPr>
        <w:t xml:space="preserve">时期，随州积极推动新一轮改革开放，努力践行创新驱动发展战略，重点领域改革纵深推进，</w:t>
      </w:r>
      <w:r>
        <w:rPr>
          <w:rFonts w:hint="eastAsia" w:hAnsi="仿宋" w:cs="仿宋"/>
        </w:rPr>
        <w:t xml:space="preserve">医养融合、混合所有制、纪检监察体制等改革经验在全国全省推广</w:t>
      </w:r>
      <w:r>
        <w:rPr>
          <w:rFonts w:hint="eastAsia" w:cs="仿宋_GB2312"/>
          <w:color w:val="000000"/>
        </w:rPr>
        <w:t xml:space="preserve">。加快行政管理体制改革，新一轮政府机构改革圆满完成，建设服务型政府取得重大进展。农村综合改革深入推进，曾都区被确定为全国首批农村集体产权改革试点县，完成农村集体产权制度改革</w:t>
      </w:r>
      <w:r>
        <w:rPr>
          <w:color w:val="000000"/>
        </w:rPr>
        <w:t xml:space="preserve">“</w:t>
      </w:r>
      <w:r>
        <w:rPr>
          <w:rFonts w:hint="eastAsia" w:cs="仿宋_GB2312"/>
          <w:color w:val="000000"/>
        </w:rPr>
        <w:t xml:space="preserve">清产核资、清人分类</w:t>
      </w:r>
      <w:r>
        <w:rPr>
          <w:color w:val="000000"/>
        </w:rPr>
        <w:t xml:space="preserve">”</w:t>
      </w:r>
      <w:r>
        <w:rPr>
          <w:rFonts w:hint="eastAsia" w:cs="仿宋_GB2312"/>
          <w:color w:val="000000"/>
        </w:rPr>
        <w:t xml:space="preserve">和农村宅基地产权确权登记工作。优化营商环境改革全面推进，工程建设项目审批制度改革走在全省前列，</w:t>
      </w:r>
      <w:r>
        <w:rPr>
          <w:rFonts w:hint="eastAsia"/>
          <w:color w:val="000000"/>
        </w:rPr>
        <w:t xml:space="preserve">电子政务外网</w:t>
      </w:r>
      <w:r>
        <w:rPr>
          <w:rFonts w:hint="eastAsia" w:cs="仿宋_GB2312"/>
          <w:color w:val="000000"/>
        </w:rPr>
        <w:t xml:space="preserve">实现省、市、县、乡、村五级联通，不动产登记改革“一窗联办、集中服务”受到省政府表彰。国资国企改革取得突破，实现市属经营性国有资产集中统一监管。对外开放水平日渐提升，成立随州海关，获批国家级出口专用车质量安全示范区，</w:t>
      </w:r>
      <w:r>
        <w:rPr>
          <w:color w:val="000000"/>
        </w:rPr>
        <w:t xml:space="preserve">“</w:t>
      </w:r>
      <w:r>
        <w:rPr>
          <w:rFonts w:hint="eastAsia" w:cs="仿宋_GB2312"/>
          <w:color w:val="000000"/>
        </w:rPr>
        <w:t xml:space="preserve">引进来</w:t>
      </w:r>
      <w:r>
        <w:rPr>
          <w:color w:val="000000"/>
        </w:rPr>
        <w:t xml:space="preserve">”</w:t>
      </w:r>
      <w:r>
        <w:rPr>
          <w:rFonts w:hint="eastAsia" w:cs="仿宋_GB2312"/>
          <w:color w:val="000000"/>
        </w:rPr>
        <w:t xml:space="preserve">与</w:t>
      </w:r>
      <w:r>
        <w:rPr>
          <w:color w:val="000000"/>
        </w:rPr>
        <w:t xml:space="preserve">“</w:t>
      </w:r>
      <w:r>
        <w:rPr>
          <w:rFonts w:hint="eastAsia" w:cs="仿宋_GB2312"/>
          <w:color w:val="000000"/>
        </w:rPr>
        <w:t xml:space="preserve">走出去</w:t>
      </w:r>
      <w:r>
        <w:rPr>
          <w:color w:val="000000"/>
        </w:rPr>
        <w:t xml:space="preserve">”</w:t>
      </w:r>
      <w:r>
        <w:rPr>
          <w:rFonts w:hint="eastAsia" w:cs="仿宋_GB2312"/>
          <w:color w:val="000000"/>
        </w:rPr>
        <w:t xml:space="preserve">成绩突出，五年间实际利用外资达到</w:t>
      </w:r>
      <w:r>
        <w:rPr>
          <w:color w:val="000000"/>
        </w:rPr>
        <w:t xml:space="preserve">19.83</w:t>
      </w:r>
      <w:r>
        <w:rPr>
          <w:rFonts w:hint="eastAsia" w:cs="仿宋_GB2312"/>
          <w:color w:val="000000"/>
        </w:rPr>
        <w:t xml:space="preserve">亿美元，与</w:t>
      </w:r>
      <w:r>
        <w:rPr>
          <w:color w:val="000000"/>
        </w:rPr>
        <w:t xml:space="preserve">“</w:t>
      </w:r>
      <w:r>
        <w:rPr>
          <w:rFonts w:hint="eastAsia" w:cs="仿宋_GB2312"/>
          <w:color w:val="000000"/>
        </w:rPr>
        <w:t xml:space="preserve">一带一路</w:t>
      </w:r>
      <w:r>
        <w:rPr>
          <w:color w:val="000000"/>
        </w:rPr>
        <w:t xml:space="preserve">”</w:t>
      </w:r>
      <w:r>
        <w:rPr>
          <w:rFonts w:hint="eastAsia" w:cs="仿宋_GB2312"/>
          <w:color w:val="000000"/>
        </w:rPr>
        <w:t xml:space="preserve">沿线</w:t>
      </w:r>
      <w:r>
        <w:rPr>
          <w:color w:val="000000"/>
        </w:rPr>
        <w:t xml:space="preserve">53</w:t>
      </w:r>
      <w:r>
        <w:rPr>
          <w:rFonts w:hint="eastAsia" w:cs="仿宋_GB2312"/>
          <w:color w:val="000000"/>
        </w:rPr>
        <w:t xml:space="preserve">个国家和地区实现贸易往来，</w:t>
      </w:r>
      <w:r>
        <w:rPr>
          <w:color w:val="000000"/>
        </w:rPr>
        <w:t xml:space="preserve">14</w:t>
      </w:r>
      <w:r>
        <w:rPr>
          <w:rFonts w:hint="eastAsia" w:cs="仿宋_GB2312"/>
          <w:color w:val="000000"/>
        </w:rPr>
        <w:t xml:space="preserve">家企业在境外投资。</w:t>
      </w:r>
      <w:r>
        <w:rPr>
          <w:color w:val="000000"/>
        </w:rPr>
      </w:r>
      <w:r>
        <w:rPr>
          <w:color w:val="000000"/>
        </w:rPr>
      </w:r>
    </w:p>
    <w:p>
      <w:pPr>
        <w:pStyle w:val="737"/>
        <w:pBdr/>
        <w:spacing/>
        <w:ind w:firstLine="643"/>
        <w:rPr>
          <w:color w:val="000000"/>
        </w:rPr>
      </w:pPr>
      <w:r/>
      <w:bookmarkStart w:id="13" w:name="_Toc25835"/>
      <w:r>
        <w:rPr>
          <w:rFonts w:hint="eastAsia" w:ascii="Times New Roman" w:hAnsi="Times New Roman" w:eastAsia="楷体_GB2312"/>
          <w:b/>
          <w:bCs/>
          <w:color w:val="000000"/>
        </w:rPr>
        <w:t xml:space="preserve">生态文明建设</w:t>
      </w:r>
      <w:bookmarkEnd w:id="13"/>
      <w:r>
        <w:rPr>
          <w:rFonts w:hint="eastAsia" w:ascii="Times New Roman" w:hAnsi="Times New Roman" w:eastAsia="楷体_GB2312"/>
          <w:b/>
          <w:bCs/>
          <w:color w:val="000000"/>
        </w:rPr>
        <w:t xml:space="preserve">成效明显</w:t>
      </w:r>
      <w:r>
        <w:rPr>
          <w:rFonts w:hint="eastAsia" w:cs="仿宋_GB2312"/>
          <w:b/>
          <w:bCs/>
          <w:color w:val="000000"/>
        </w:rPr>
        <w:t xml:space="preserve">。</w:t>
      </w:r>
      <w:r>
        <w:rPr>
          <w:color w:val="000000"/>
        </w:rPr>
        <w:t xml:space="preserve">“</w:t>
      </w:r>
      <w:r>
        <w:rPr>
          <w:rFonts w:hint="eastAsia" w:cs="仿宋_GB2312"/>
          <w:color w:val="000000"/>
        </w:rPr>
        <w:t xml:space="preserve">十三五</w:t>
      </w:r>
      <w:r>
        <w:rPr>
          <w:color w:val="000000"/>
        </w:rPr>
        <w:t xml:space="preserve">”</w:t>
      </w:r>
      <w:r>
        <w:rPr>
          <w:rFonts w:hint="eastAsia" w:cs="仿宋_GB2312"/>
          <w:color w:val="000000"/>
        </w:rPr>
        <w:t xml:space="preserve">时期，随州切实落实</w:t>
      </w:r>
      <w:r>
        <w:rPr>
          <w:color w:val="000000"/>
        </w:rPr>
        <w:t xml:space="preserve">“</w:t>
      </w:r>
      <w:r>
        <w:rPr>
          <w:rFonts w:hint="eastAsia" w:cs="仿宋_GB2312"/>
          <w:color w:val="000000"/>
        </w:rPr>
        <w:t xml:space="preserve">两山</w:t>
      </w:r>
      <w:r>
        <w:rPr>
          <w:color w:val="000000"/>
        </w:rPr>
        <w:t xml:space="preserve">”</w:t>
      </w:r>
      <w:r>
        <w:rPr>
          <w:rFonts w:hint="eastAsia" w:cs="仿宋_GB2312"/>
          <w:color w:val="000000"/>
        </w:rPr>
        <w:t xml:space="preserve">理论和绿色发展理念，大力实施</w:t>
      </w:r>
      <w:r>
        <w:rPr>
          <w:color w:val="000000"/>
        </w:rPr>
        <w:t xml:space="preserve">“</w:t>
      </w:r>
      <w:r>
        <w:rPr>
          <w:rFonts w:hint="eastAsia" w:cs="仿宋_GB2312"/>
          <w:color w:val="000000"/>
        </w:rPr>
        <w:t xml:space="preserve">四个三重大生态工程</w:t>
      </w:r>
      <w:r>
        <w:rPr>
          <w:color w:val="000000"/>
        </w:rPr>
        <w:t xml:space="preserve">”“</w:t>
      </w:r>
      <w:r>
        <w:rPr>
          <w:rFonts w:hint="eastAsia" w:cs="仿宋_GB2312"/>
          <w:color w:val="000000"/>
        </w:rPr>
        <w:t xml:space="preserve">绿满随州行动</w:t>
      </w:r>
      <w:r>
        <w:rPr>
          <w:color w:val="000000"/>
        </w:rPr>
        <w:t xml:space="preserve">”</w:t>
      </w:r>
      <w:r>
        <w:rPr>
          <w:rFonts w:hint="eastAsia" w:cs="仿宋_GB2312"/>
          <w:color w:val="000000"/>
        </w:rPr>
        <w:t xml:space="preserve">等系列工程，生态绿化建设取得显著进步。</w:t>
      </w:r>
      <w:r>
        <w:rPr>
          <w:color w:val="000000"/>
        </w:rPr>
        <w:t xml:space="preserve">“</w:t>
      </w:r>
      <w:r>
        <w:rPr>
          <w:rFonts w:hint="eastAsia" w:cs="仿宋_GB2312"/>
          <w:color w:val="000000"/>
        </w:rPr>
        <w:t xml:space="preserve">厕所革命</w:t>
      </w:r>
      <w:r>
        <w:rPr>
          <w:color w:val="000000"/>
        </w:rPr>
        <w:t xml:space="preserve">”</w:t>
      </w:r>
      <w:r>
        <w:rPr>
          <w:rFonts w:hint="eastAsia" w:cs="仿宋_GB2312"/>
          <w:color w:val="000000"/>
        </w:rPr>
        <w:t xml:space="preserve">任务顺利完成，建成农户无害化厕所</w:t>
      </w:r>
      <w:r>
        <w:rPr>
          <w:color w:val="000000"/>
        </w:rPr>
        <w:t xml:space="preserve">13</w:t>
      </w:r>
      <w:r>
        <w:rPr>
          <w:rFonts w:hint="eastAsia"/>
          <w:color w:val="000000"/>
          <w:lang w:val="en-US" w:eastAsia="zh-CN"/>
        </w:rPr>
        <w:t xml:space="preserve">.</w:t>
      </w:r>
      <w:r>
        <w:rPr>
          <w:color w:val="000000"/>
        </w:rPr>
        <w:t xml:space="preserve">2</w:t>
      </w:r>
      <w:r>
        <w:rPr>
          <w:rFonts w:hint="eastAsia"/>
          <w:color w:val="000000"/>
          <w:lang w:val="en-US" w:eastAsia="zh-CN"/>
        </w:rPr>
        <w:t xml:space="preserve">7</w:t>
      </w:r>
      <w:r>
        <w:rPr>
          <w:rFonts w:hint="eastAsia"/>
          <w:color w:val="000000"/>
          <w:lang w:eastAsia="zh-CN"/>
        </w:rPr>
        <w:t xml:space="preserve">万</w:t>
      </w:r>
      <w:r>
        <w:rPr>
          <w:rFonts w:hint="eastAsia" w:cs="仿宋_GB2312"/>
          <w:color w:val="000000"/>
        </w:rPr>
        <w:t xml:space="preserve">个、农村公厕</w:t>
      </w:r>
      <w:r>
        <w:rPr>
          <w:rFonts w:hint="eastAsia"/>
          <w:color w:val="000000"/>
          <w:lang w:val="en-US" w:eastAsia="zh-CN"/>
        </w:rPr>
        <w:t xml:space="preserve">906</w:t>
      </w:r>
      <w:r>
        <w:rPr>
          <w:rFonts w:hint="eastAsia" w:cs="仿宋_GB2312"/>
          <w:color w:val="000000"/>
        </w:rPr>
        <w:t xml:space="preserve">个、乡镇公厕</w:t>
      </w:r>
      <w:r>
        <w:rPr>
          <w:color w:val="000000"/>
        </w:rPr>
        <w:t xml:space="preserve">1</w:t>
      </w:r>
      <w:r>
        <w:rPr>
          <w:rFonts w:hint="eastAsia"/>
          <w:color w:val="000000"/>
          <w:lang w:val="en-US" w:eastAsia="zh-CN"/>
        </w:rPr>
        <w:t xml:space="preserve">79</w:t>
      </w:r>
      <w:r>
        <w:rPr>
          <w:rFonts w:hint="eastAsia" w:cs="仿宋_GB2312"/>
          <w:color w:val="000000"/>
        </w:rPr>
        <w:t xml:space="preserve">个、城市公厕</w:t>
      </w:r>
      <w:r>
        <w:rPr>
          <w:color w:val="000000"/>
        </w:rPr>
        <w:t xml:space="preserve">177</w:t>
      </w:r>
      <w:r>
        <w:rPr>
          <w:rFonts w:hint="eastAsia" w:cs="仿宋_GB2312"/>
          <w:color w:val="000000"/>
        </w:rPr>
        <w:t xml:space="preserve">个、交通厕所</w:t>
      </w:r>
      <w:r>
        <w:rPr>
          <w:color w:val="000000"/>
        </w:rPr>
        <w:t xml:space="preserve">11</w:t>
      </w:r>
      <w:r>
        <w:rPr>
          <w:rFonts w:hint="eastAsia" w:cs="仿宋_GB2312"/>
          <w:color w:val="000000"/>
        </w:rPr>
        <w:t xml:space="preserve">个、旅游厕所</w:t>
      </w:r>
      <w:r>
        <w:rPr>
          <w:color w:val="000000"/>
        </w:rPr>
        <w:t xml:space="preserve">10</w:t>
      </w:r>
      <w:r>
        <w:rPr>
          <w:rFonts w:hint="eastAsia"/>
          <w:color w:val="000000"/>
          <w:lang w:val="en-US" w:eastAsia="zh-CN"/>
        </w:rPr>
        <w:t xml:space="preserve">8</w:t>
      </w:r>
      <w:r>
        <w:rPr>
          <w:rFonts w:hint="eastAsia" w:cs="仿宋_GB2312"/>
          <w:color w:val="000000"/>
        </w:rPr>
        <w:t xml:space="preserve">个；国家森林城市通过复检，</w:t>
      </w:r>
      <w:r>
        <w:rPr>
          <w:rFonts w:hint="eastAsia"/>
          <w:color w:val="000000"/>
        </w:rPr>
        <w:t xml:space="preserve">完成造林面积</w:t>
      </w:r>
      <w:r>
        <w:rPr>
          <w:rFonts w:hint="eastAsia"/>
          <w:color w:val="000000"/>
          <w:lang w:val="en-US"/>
        </w:rPr>
        <w:t xml:space="preserve">65万亩</w:t>
      </w:r>
      <w:r>
        <w:rPr>
          <w:rFonts w:hint="eastAsia" w:cs="仿宋_GB2312"/>
          <w:color w:val="000000"/>
        </w:rPr>
        <w:t xml:space="preserve">，森林覆盖率达到</w:t>
      </w:r>
      <w:r>
        <w:rPr>
          <w:rFonts w:hint="eastAsia"/>
          <w:color w:val="000000"/>
          <w:lang w:val="en-US" w:eastAsia="zh-CN"/>
        </w:rPr>
        <w:t xml:space="preserve">52.9</w:t>
      </w:r>
      <w:r>
        <w:rPr>
          <w:color w:val="000000"/>
        </w:rPr>
        <w:t xml:space="preserve">%</w:t>
      </w:r>
      <w:r>
        <w:rPr>
          <w:rFonts w:hint="eastAsia" w:cs="仿宋_GB2312"/>
          <w:color w:val="000000"/>
        </w:rPr>
        <w:t xml:space="preserve">；推行生活垃圾分类，城乡生活垃圾无害化处理率大幅提高。城市园林绿化空间不断拓展，城市绿道建设不断推进，城市公园绿地面积达</w:t>
      </w:r>
      <w:r>
        <w:rPr>
          <w:color w:val="000000"/>
        </w:rPr>
        <w:t xml:space="preserve">551</w:t>
      </w:r>
      <w:r>
        <w:rPr>
          <w:rFonts w:hint="eastAsia" w:cs="仿宋_GB2312"/>
          <w:color w:val="000000"/>
        </w:rPr>
        <w:t xml:space="preserve">万平方米。绿色示范乡村建设全面推进，建成随南</w:t>
      </w:r>
      <w:r>
        <w:rPr>
          <w:color w:val="000000"/>
        </w:rPr>
        <w:t xml:space="preserve">“</w:t>
      </w:r>
      <w:r>
        <w:rPr>
          <w:rFonts w:hint="eastAsia" w:cs="仿宋_GB2312"/>
          <w:color w:val="000000"/>
        </w:rPr>
        <w:t xml:space="preserve">百里画廊</w:t>
      </w:r>
      <w:r>
        <w:rPr>
          <w:color w:val="000000"/>
        </w:rPr>
        <w:t xml:space="preserve">”</w:t>
      </w:r>
      <w:r>
        <w:rPr>
          <w:rFonts w:hint="eastAsia" w:cs="仿宋_GB2312"/>
          <w:color w:val="000000"/>
        </w:rPr>
        <w:t xml:space="preserve">、随北</w:t>
      </w:r>
      <w:r>
        <w:rPr>
          <w:color w:val="000000"/>
        </w:rPr>
        <w:t xml:space="preserve">“</w:t>
      </w:r>
      <w:r>
        <w:rPr>
          <w:rFonts w:hint="eastAsia" w:cs="仿宋_GB2312"/>
          <w:color w:val="000000"/>
        </w:rPr>
        <w:t xml:space="preserve">百里生态风光走廊</w:t>
      </w:r>
      <w:r>
        <w:rPr>
          <w:color w:val="000000"/>
        </w:rPr>
        <w:t xml:space="preserve">”</w:t>
      </w:r>
      <w:r>
        <w:rPr>
          <w:rFonts w:hint="eastAsia" w:cs="仿宋_GB2312"/>
          <w:color w:val="000000"/>
        </w:rPr>
        <w:t xml:space="preserve">、广水市北三镇</w:t>
      </w:r>
      <w:r>
        <w:rPr>
          <w:color w:val="000000"/>
        </w:rPr>
        <w:t xml:space="preserve">“40</w:t>
      </w:r>
      <w:r>
        <w:rPr>
          <w:rFonts w:hint="eastAsia" w:cs="仿宋_GB2312"/>
          <w:color w:val="000000"/>
        </w:rPr>
        <w:t xml:space="preserve">里生态画廊</w:t>
      </w:r>
      <w:r>
        <w:rPr>
          <w:color w:val="000000"/>
        </w:rPr>
        <w:t xml:space="preserve">”</w:t>
      </w:r>
      <w:r>
        <w:rPr>
          <w:rFonts w:hint="eastAsia" w:cs="仿宋_GB2312"/>
          <w:color w:val="000000"/>
        </w:rPr>
        <w:t xml:space="preserve">、曾都区何店镇</w:t>
      </w:r>
      <w:r>
        <w:rPr>
          <w:color w:val="000000"/>
        </w:rPr>
        <w:t xml:space="preserve">—</w:t>
      </w:r>
      <w:r>
        <w:rPr>
          <w:rFonts w:hint="eastAsia" w:cs="仿宋_GB2312"/>
          <w:color w:val="000000"/>
        </w:rPr>
        <w:t xml:space="preserve">洛阳镇</w:t>
      </w:r>
      <w:r>
        <w:rPr>
          <w:color w:val="000000"/>
        </w:rPr>
        <w:t xml:space="preserve">—</w:t>
      </w:r>
      <w:r>
        <w:rPr>
          <w:rFonts w:hint="eastAsia" w:cs="仿宋_GB2312"/>
          <w:color w:val="000000"/>
        </w:rPr>
        <w:t xml:space="preserve">府河镇</w:t>
      </w:r>
      <w:r>
        <w:rPr>
          <w:color w:val="000000"/>
        </w:rPr>
        <w:t xml:space="preserve">“</w:t>
      </w:r>
      <w:r>
        <w:rPr>
          <w:rFonts w:hint="eastAsia" w:cs="仿宋_GB2312"/>
          <w:color w:val="000000"/>
        </w:rPr>
        <w:t xml:space="preserve">生态产业及生态景观走廊</w:t>
      </w:r>
      <w:r>
        <w:rPr>
          <w:color w:val="000000"/>
        </w:rPr>
        <w:t xml:space="preserve">”</w:t>
      </w:r>
      <w:r>
        <w:rPr>
          <w:rFonts w:hint="eastAsia" w:cs="仿宋_GB2312"/>
          <w:color w:val="000000"/>
        </w:rPr>
        <w:t xml:space="preserve">、随州高新区淅河镇</w:t>
      </w:r>
      <w:r>
        <w:rPr>
          <w:color w:val="000000"/>
        </w:rPr>
        <w:t xml:space="preserve">“</w:t>
      </w:r>
      <w:r>
        <w:rPr>
          <w:rFonts w:hint="eastAsia" w:cs="仿宋_GB2312"/>
          <w:color w:val="000000"/>
        </w:rPr>
        <w:t xml:space="preserve">美丽乡村示范片</w:t>
      </w:r>
      <w:r>
        <w:rPr>
          <w:color w:val="000000"/>
        </w:rPr>
        <w:t xml:space="preserve">”</w:t>
      </w:r>
      <w:r>
        <w:rPr>
          <w:rFonts w:hint="eastAsia" w:cs="仿宋_GB2312"/>
          <w:color w:val="000000"/>
        </w:rPr>
        <w:t xml:space="preserve">，成功创建</w:t>
      </w:r>
      <w:r>
        <w:rPr>
          <w:color w:val="000000"/>
        </w:rPr>
        <w:t xml:space="preserve">1</w:t>
      </w:r>
      <w:r>
        <w:rPr>
          <w:rFonts w:hint="eastAsia" w:cs="仿宋_GB2312"/>
          <w:color w:val="000000"/>
        </w:rPr>
        <w:t xml:space="preserve">个国家级生态镇、</w:t>
      </w:r>
      <w:r>
        <w:rPr>
          <w:color w:val="000000"/>
        </w:rPr>
        <w:t xml:space="preserve">19</w:t>
      </w:r>
      <w:r>
        <w:rPr>
          <w:rFonts w:hint="eastAsia" w:cs="仿宋_GB2312"/>
          <w:color w:val="000000"/>
        </w:rPr>
        <w:t xml:space="preserve">个国家森林乡村、</w:t>
      </w:r>
      <w:r>
        <w:rPr>
          <w:color w:val="000000"/>
        </w:rPr>
        <w:t xml:space="preserve">8</w:t>
      </w:r>
      <w:r>
        <w:rPr>
          <w:rFonts w:hint="eastAsia" w:cs="仿宋_GB2312"/>
          <w:color w:val="000000"/>
        </w:rPr>
        <w:t xml:space="preserve">个省级</w:t>
      </w:r>
      <w:r>
        <w:rPr>
          <w:color w:val="000000"/>
        </w:rPr>
        <w:t xml:space="preserve">“</w:t>
      </w:r>
      <w:r>
        <w:rPr>
          <w:rFonts w:hint="eastAsia" w:cs="仿宋_GB2312"/>
          <w:color w:val="000000"/>
        </w:rPr>
        <w:t xml:space="preserve">森林城镇</w:t>
      </w:r>
      <w:r>
        <w:rPr>
          <w:color w:val="000000"/>
        </w:rPr>
        <w:t xml:space="preserve">”</w:t>
      </w:r>
      <w:r>
        <w:rPr>
          <w:rFonts w:hint="eastAsia" w:cs="仿宋_GB2312"/>
          <w:color w:val="000000"/>
        </w:rPr>
        <w:t xml:space="preserve">、</w:t>
      </w:r>
      <w:r>
        <w:rPr>
          <w:color w:val="000000"/>
        </w:rPr>
        <w:t xml:space="preserve">324</w:t>
      </w:r>
      <w:r>
        <w:rPr>
          <w:rFonts w:hint="eastAsia" w:cs="仿宋_GB2312"/>
          <w:color w:val="000000"/>
        </w:rPr>
        <w:t xml:space="preserve">个省市级绿色示范村。大力发展循环经济，实现资源的高效利用和循环使用，建设资源节约型、环境友好型社会取得重大进展。</w:t>
      </w:r>
      <w:r>
        <w:rPr>
          <w:color w:val="000000"/>
        </w:rPr>
      </w:r>
      <w:r>
        <w:rPr>
          <w:color w:val="000000"/>
        </w:rPr>
      </w:r>
    </w:p>
    <w:p>
      <w:pPr>
        <w:pStyle w:val="737"/>
        <w:pBdr/>
        <w:spacing/>
        <w:ind w:firstLine="643"/>
        <w:rPr>
          <w:rFonts w:hint="eastAsia" w:cs="仿宋_GB2312"/>
          <w:color w:val="000000"/>
        </w:rPr>
      </w:pPr>
      <w:r/>
      <w:bookmarkStart w:id="14" w:name="_Toc25132"/>
      <w:r/>
      <w:bookmarkStart w:id="15" w:name="_Toc32187"/>
      <w:r/>
      <w:bookmarkStart w:id="16" w:name="_Toc41642485"/>
      <w:r/>
      <w:bookmarkStart w:id="17" w:name="_Toc12054"/>
      <w:r>
        <w:rPr>
          <w:rFonts w:hint="eastAsia" w:ascii="Times New Roman" w:hAnsi="Times New Roman" w:eastAsia="楷体_GB2312"/>
          <w:b/>
          <w:bCs/>
          <w:color w:val="000000"/>
        </w:rPr>
        <w:t xml:space="preserve">社会</w:t>
      </w:r>
      <w:bookmarkEnd w:id="14"/>
      <w:r/>
      <w:bookmarkEnd w:id="15"/>
      <w:r/>
      <w:bookmarkEnd w:id="16"/>
      <w:r/>
      <w:bookmarkEnd w:id="17"/>
      <w:r>
        <w:rPr>
          <w:rFonts w:hint="eastAsia" w:ascii="Times New Roman" w:hAnsi="Times New Roman" w:eastAsia="楷体_GB2312"/>
          <w:b/>
          <w:bCs/>
          <w:color w:val="000000"/>
        </w:rPr>
        <w:t xml:space="preserve">保障水平不断提高。</w:t>
      </w:r>
      <w:r>
        <w:rPr>
          <w:color w:val="000000"/>
        </w:rPr>
        <w:t xml:space="preserve">“</w:t>
      </w:r>
      <w:r>
        <w:rPr>
          <w:rFonts w:hint="eastAsia" w:cs="仿宋_GB2312"/>
          <w:color w:val="000000"/>
        </w:rPr>
        <w:t xml:space="preserve">十三五</w:t>
      </w:r>
      <w:r>
        <w:rPr>
          <w:color w:val="000000"/>
        </w:rPr>
        <w:t xml:space="preserve">”</w:t>
      </w:r>
      <w:r>
        <w:rPr>
          <w:rFonts w:hint="eastAsia" w:cs="仿宋_GB2312"/>
          <w:color w:val="000000"/>
        </w:rPr>
        <w:t xml:space="preserve">时期，随州坚持人民至上理念，全力做好</w:t>
      </w:r>
      <w:r>
        <w:rPr>
          <w:color w:val="000000"/>
        </w:rPr>
        <w:t xml:space="preserve">“</w:t>
      </w:r>
      <w:r>
        <w:rPr>
          <w:rFonts w:hint="eastAsia" w:cs="仿宋_GB2312"/>
          <w:color w:val="000000"/>
        </w:rPr>
        <w:t xml:space="preserve">六稳</w:t>
      </w:r>
      <w:r>
        <w:rPr>
          <w:color w:val="000000"/>
        </w:rPr>
        <w:t xml:space="preserve">”“</w:t>
      </w:r>
      <w:r>
        <w:rPr>
          <w:rFonts w:hint="eastAsia" w:cs="仿宋_GB2312"/>
          <w:color w:val="000000"/>
        </w:rPr>
        <w:t xml:space="preserve">六保</w:t>
      </w:r>
      <w:r>
        <w:rPr>
          <w:color w:val="000000"/>
        </w:rPr>
        <w:t xml:space="preserve">”</w:t>
      </w:r>
      <w:r>
        <w:rPr>
          <w:rFonts w:hint="eastAsia" w:cs="仿宋_GB2312"/>
          <w:color w:val="000000"/>
        </w:rPr>
        <w:t xml:space="preserve">工作，推动各项社会事业发展进步，民生福祉不断增进。居民就业和收入水平稳步提升，新增城镇就业</w:t>
      </w:r>
      <w:r>
        <w:rPr>
          <w:color w:val="000000"/>
        </w:rPr>
        <w:t xml:space="preserve">10.47</w:t>
      </w:r>
      <w:r>
        <w:rPr>
          <w:rFonts w:hint="eastAsia" w:cs="仿宋_GB2312"/>
          <w:color w:val="000000"/>
        </w:rPr>
        <w:t xml:space="preserve">万人，城镇登记失业率控制在</w:t>
      </w:r>
      <w:r>
        <w:rPr>
          <w:color w:val="000000"/>
        </w:rPr>
        <w:t xml:space="preserve">4.5%</w:t>
      </w:r>
      <w:r>
        <w:rPr>
          <w:rFonts w:hint="eastAsia" w:cs="仿宋_GB2312"/>
          <w:color w:val="000000"/>
        </w:rPr>
        <w:t xml:space="preserve">以内，城乡居民人均可支配收入增速高于经济增速，农民工工资支付保障工作考核居全省前列。养老保险待遇不断提高，企业离退休人员月均基本养老金提高到</w:t>
      </w:r>
      <w:r>
        <w:rPr>
          <w:rFonts w:hint="eastAsia"/>
          <w:color w:val="000000"/>
          <w:lang w:val="en-US"/>
        </w:rPr>
        <w:t xml:space="preserve">2100</w:t>
      </w:r>
      <w:r>
        <w:rPr>
          <w:rFonts w:hint="eastAsia" w:cs="仿宋_GB2312"/>
          <w:color w:val="000000"/>
        </w:rPr>
        <w:t xml:space="preserve">元，城乡居保基础养老金待遇提高到</w:t>
      </w:r>
      <w:r>
        <w:rPr>
          <w:color w:val="000000"/>
        </w:rPr>
        <w:t xml:space="preserve">103</w:t>
      </w:r>
      <w:r>
        <w:rPr>
          <w:rFonts w:hint="eastAsia" w:cs="仿宋_GB2312"/>
          <w:color w:val="000000"/>
        </w:rPr>
        <w:t xml:space="preserve">元。医疗保障制度进一步完善，大病保障水平显著提高，参加基本医疗保险人数达到</w:t>
      </w:r>
      <w:r>
        <w:rPr>
          <w:color w:val="000000"/>
        </w:rPr>
        <w:t xml:space="preserve">204.8</w:t>
      </w:r>
      <w:r>
        <w:rPr>
          <w:rFonts w:hint="eastAsia" w:cs="仿宋_GB2312"/>
          <w:color w:val="000000"/>
        </w:rPr>
        <w:t xml:space="preserve">万人。养老服务体系逐渐完善，每千名老人养老床位数达到</w:t>
      </w:r>
      <w:r>
        <w:rPr>
          <w:color w:val="000000"/>
        </w:rPr>
        <w:t xml:space="preserve">35</w:t>
      </w:r>
      <w:r>
        <w:rPr>
          <w:rFonts w:hint="eastAsia" w:cs="仿宋_GB2312"/>
          <w:color w:val="000000"/>
        </w:rPr>
        <w:t xml:space="preserve">张。保障性安居工程惠及城乡居民</w:t>
      </w:r>
      <w:r>
        <w:rPr>
          <w:rFonts w:hint="eastAsia" w:cs="仿宋_GB2312"/>
          <w:color w:val="000000"/>
          <w:lang w:val="en-US"/>
        </w:rPr>
        <w:t xml:space="preserve">，建设各类保障性住房38692套，</w:t>
      </w:r>
      <w:r>
        <w:rPr>
          <w:color w:val="000000"/>
          <w:lang w:val="en-US"/>
        </w:rPr>
        <w:t xml:space="preserve">12</w:t>
      </w:r>
      <w:r>
        <w:rPr>
          <w:rFonts w:hint="eastAsia"/>
          <w:color w:val="000000"/>
          <w:lang w:val="en-US"/>
        </w:rPr>
        <w:t xml:space="preserve">2</w:t>
      </w:r>
      <w:r>
        <w:rPr>
          <w:rFonts w:hint="eastAsia" w:cs="仿宋_GB2312"/>
          <w:color w:val="000000"/>
          <w:lang w:val="en-US"/>
        </w:rPr>
        <w:t xml:space="preserve">个老旧小区改造加快推进。</w:t>
      </w:r>
      <w:r>
        <w:rPr>
          <w:rFonts w:hint="eastAsia" w:cs="仿宋_GB2312"/>
          <w:color w:val="000000"/>
        </w:rPr>
        <w:t xml:space="preserve">各级各类教育长足发展，办学条件显著改善，</w:t>
      </w:r>
      <w:r>
        <w:rPr>
          <w:rFonts w:hint="eastAsia" w:cs="仿宋_GB2312"/>
          <w:color w:val="000000"/>
          <w:lang w:val="en-US"/>
        </w:rPr>
        <w:t xml:space="preserve">2</w:t>
      </w:r>
      <w:r>
        <w:rPr>
          <w:rFonts w:hint="eastAsia" w:cs="仿宋_GB2312"/>
          <w:color w:val="000000"/>
        </w:rPr>
        <w:t xml:space="preserve">所学校入选省中小学数字校园试点，建成省市级名师工作室</w:t>
      </w:r>
      <w:r>
        <w:rPr>
          <w:color w:val="000000"/>
        </w:rPr>
        <w:t xml:space="preserve">13</w:t>
      </w:r>
      <w:r>
        <w:rPr>
          <w:rFonts w:hint="eastAsia" w:cs="仿宋_GB2312"/>
          <w:color w:val="000000"/>
        </w:rPr>
        <w:t xml:space="preserve">个。建设</w:t>
      </w:r>
      <w:r>
        <w:rPr>
          <w:color w:val="000000"/>
        </w:rPr>
        <w:t xml:space="preserve">“</w:t>
      </w:r>
      <w:r>
        <w:rPr>
          <w:rFonts w:hint="eastAsia" w:cs="仿宋_GB2312"/>
          <w:color w:val="000000"/>
        </w:rPr>
        <w:t xml:space="preserve">健康随州</w:t>
      </w:r>
      <w:r>
        <w:rPr>
          <w:color w:val="000000"/>
        </w:rPr>
        <w:t xml:space="preserve">”</w:t>
      </w:r>
      <w:r>
        <w:rPr>
          <w:rFonts w:hint="eastAsia" w:cs="仿宋_GB2312"/>
          <w:color w:val="000000"/>
        </w:rPr>
        <w:t xml:space="preserve">深入推进，医疗卫生体制改革成效显著，新建随州市中心医院新院等</w:t>
      </w:r>
      <w:r>
        <w:rPr>
          <w:color w:val="000000"/>
        </w:rPr>
        <w:t xml:space="preserve">15</w:t>
      </w:r>
      <w:r>
        <w:rPr>
          <w:rFonts w:hint="eastAsia" w:cs="仿宋_GB2312"/>
          <w:color w:val="000000"/>
        </w:rPr>
        <w:t xml:space="preserve">个医疗卫生项目，加快推进分级诊疗和医联体建设，城乡居民健康档案建档率达到</w:t>
      </w:r>
      <w:r>
        <w:rPr>
          <w:color w:val="000000"/>
        </w:rPr>
        <w:t xml:space="preserve">93.1%</w:t>
      </w:r>
      <w:r>
        <w:rPr>
          <w:rFonts w:hint="eastAsia" w:cs="仿宋_GB2312"/>
          <w:color w:val="000000"/>
        </w:rPr>
        <w:t xml:space="preserve">。</w:t>
      </w:r>
      <w:r>
        <w:rPr>
          <w:rFonts w:hint="eastAsia" w:cs="仿宋_GB2312"/>
          <w:color w:val="000000"/>
        </w:rPr>
      </w:r>
      <w:r>
        <w:rPr>
          <w:rFonts w:hint="eastAsia" w:cs="仿宋_GB2312"/>
          <w:color w:val="000000"/>
        </w:rPr>
      </w:r>
    </w:p>
    <w:p>
      <w:pPr>
        <w:pStyle w:val="737"/>
        <w:pBdr/>
        <w:spacing/>
        <w:ind w:firstLine="643"/>
        <w:rPr>
          <w:rFonts w:hint="eastAsia" w:cs="仿宋_GB2312"/>
          <w:color w:val="000000"/>
        </w:rPr>
      </w:pPr>
      <w:r>
        <w:rPr>
          <w:rFonts w:hint="eastAsia" w:ascii="Times New Roman" w:hAnsi="Times New Roman" w:eastAsia="楷体_GB2312"/>
          <w:b/>
          <w:bCs/>
          <w:color w:val="000000"/>
        </w:rPr>
        <w:t xml:space="preserve">市域</w:t>
      </w:r>
      <w:r>
        <w:rPr>
          <w:rFonts w:ascii="Times New Roman" w:hAnsi="Times New Roman" w:eastAsia="楷体_GB2312"/>
          <w:b/>
          <w:bCs/>
          <w:color w:val="000000"/>
        </w:rPr>
        <w:t xml:space="preserve">治理工作取得</w:t>
      </w:r>
      <w:r>
        <w:rPr>
          <w:rFonts w:hint="eastAsia" w:ascii="Times New Roman" w:hAnsi="Times New Roman" w:eastAsia="楷体_GB2312"/>
          <w:b/>
          <w:bCs/>
          <w:color w:val="000000"/>
        </w:rPr>
        <w:t xml:space="preserve">扎实成效。</w:t>
      </w:r>
      <w:r>
        <w:rPr>
          <w:rFonts w:hint="eastAsia" w:cs="仿宋_GB2312"/>
          <w:color w:val="000000"/>
        </w:rPr>
        <w:t xml:space="preserve">“十三五”时期，随州不断健全市域社会治理现代化体系，全市人民获得感、幸福感、安全感大幅提高。建设</w:t>
      </w:r>
      <w:r>
        <w:rPr>
          <w:color w:val="000000"/>
        </w:rPr>
        <w:t xml:space="preserve">“</w:t>
      </w:r>
      <w:r>
        <w:rPr>
          <w:rFonts w:hint="eastAsia" w:cs="仿宋_GB2312"/>
          <w:color w:val="000000"/>
        </w:rPr>
        <w:t xml:space="preserve">平安随州</w:t>
      </w:r>
      <w:r>
        <w:rPr>
          <w:color w:val="000000"/>
        </w:rPr>
        <w:t xml:space="preserve">”</w:t>
      </w:r>
      <w:r>
        <w:rPr>
          <w:rFonts w:hint="eastAsia" w:cs="仿宋_GB2312"/>
          <w:color w:val="000000"/>
        </w:rPr>
        <w:t xml:space="preserve">全面深化，扫黑除恶专项斗争取得重大成效，综治信访维稳工作有序开展，安全生产、市场监管等工作成效明显，社会安全稳定。</w:t>
      </w:r>
      <w:bookmarkStart w:id="18" w:name="_Toc17068"/>
      <w:r>
        <w:rPr>
          <w:rFonts w:hint="eastAsia" w:cs="仿宋_GB2312"/>
          <w:color w:val="000000"/>
        </w:rPr>
        <w:t xml:space="preserve">社会治理能力逐步提高</w:t>
      </w:r>
      <w:bookmarkEnd w:id="18"/>
      <w:r>
        <w:rPr>
          <w:rFonts w:hint="eastAsia" w:cs="仿宋_GB2312"/>
          <w:color w:val="000000"/>
        </w:rPr>
        <w:t xml:space="preserve">，推动政法机关信息化</w:t>
      </w:r>
      <w:r>
        <w:rPr>
          <w:color w:val="000000"/>
        </w:rPr>
        <w:t xml:space="preserve">“1234”</w:t>
      </w:r>
      <w:r>
        <w:rPr>
          <w:rFonts w:hint="eastAsia" w:cs="仿宋_GB2312"/>
          <w:color w:val="000000"/>
        </w:rPr>
        <w:t xml:space="preserve">工程建设，发挥</w:t>
      </w:r>
      <w:r>
        <w:rPr>
          <w:color w:val="000000"/>
        </w:rPr>
        <w:t xml:space="preserve">“</w:t>
      </w:r>
      <w:r>
        <w:rPr>
          <w:rFonts w:hint="eastAsia" w:cs="仿宋_GB2312"/>
          <w:color w:val="000000"/>
        </w:rPr>
        <w:t xml:space="preserve">党建</w:t>
      </w:r>
      <w:r>
        <w:rPr>
          <w:color w:val="000000"/>
        </w:rPr>
        <w:t xml:space="preserve">+”</w:t>
      </w:r>
      <w:r>
        <w:rPr>
          <w:rFonts w:hint="eastAsia" w:cs="仿宋_GB2312"/>
          <w:color w:val="000000"/>
        </w:rPr>
        <w:t xml:space="preserve">力量，推广</w:t>
      </w:r>
      <w:r>
        <w:rPr>
          <w:color w:val="000000"/>
        </w:rPr>
        <w:t xml:space="preserve">“</w:t>
      </w:r>
      <w:r>
        <w:rPr>
          <w:rFonts w:hint="eastAsia" w:cs="仿宋_GB2312"/>
          <w:color w:val="000000"/>
        </w:rPr>
        <w:t xml:space="preserve">网格</w:t>
      </w:r>
      <w:r>
        <w:rPr>
          <w:color w:val="000000"/>
        </w:rPr>
        <w:t xml:space="preserve">+”</w:t>
      </w:r>
      <w:r>
        <w:rPr>
          <w:rFonts w:hint="eastAsia" w:cs="仿宋_GB2312"/>
          <w:color w:val="000000"/>
        </w:rPr>
        <w:t xml:space="preserve">管理模式，社会治理工作迈向精准化、精细化、智能化。基层民主政治建设不断加强，基层民主参选率达到</w:t>
      </w:r>
      <w:r>
        <w:rPr>
          <w:color w:val="000000"/>
        </w:rPr>
        <w:t xml:space="preserve">95.15%</w:t>
      </w:r>
      <w:r>
        <w:rPr>
          <w:rFonts w:hint="eastAsia" w:cs="仿宋_GB2312"/>
          <w:color w:val="000000"/>
        </w:rPr>
        <w:t xml:space="preserve">。</w:t>
      </w:r>
      <w:r>
        <w:rPr>
          <w:rFonts w:hint="eastAsia" w:cs="仿宋_GB2312"/>
          <w:color w:val="000000"/>
        </w:rPr>
      </w:r>
      <w:r>
        <w:rPr>
          <w:rFonts w:hint="eastAsia" w:cs="仿宋_GB2312"/>
          <w:color w:val="000000"/>
        </w:rPr>
      </w:r>
    </w:p>
    <w:p>
      <w:pPr>
        <w:pStyle w:val="737"/>
        <w:pBdr/>
        <w:spacing/>
        <w:ind w:firstLine="643"/>
        <w:rPr>
          <w:rFonts w:hint="eastAsia"/>
        </w:rPr>
      </w:pPr>
      <w:r>
        <w:rPr>
          <w:rFonts w:hint="eastAsia" w:ascii="Times New Roman" w:hAnsi="Times New Roman" w:eastAsia="楷体_GB2312"/>
          <w:b/>
          <w:bCs/>
          <w:color w:val="000000"/>
        </w:rPr>
        <w:t xml:space="preserve">疫情防控取得决定性成果。</w:t>
      </w:r>
      <w:r>
        <w:rPr>
          <w:rFonts w:hint="eastAsia" w:cs="仿宋_GB2312"/>
          <w:color w:val="000000"/>
        </w:rPr>
        <w:t xml:space="preserve">面对突如其来的新冠肺炎疫情，在习近平总书记亲自指挥、亲自部署和党中央坚强领导下，随州严格贯彻落实省委、省政府关于统筹推进疫情防控和经济社会发展工作要求，奋力打好疫情防控阻击战和疫后重振经济发展战、民生保卫战，新冠肺炎疫情防控取得决定性成果，经济社会秩序全面加快恢复，为全国和全省抗疫斗争取得重大战略成果作出了随州贡献。</w:t>
      </w:r>
      <w:r>
        <w:rPr>
          <w:rFonts w:hint="eastAsia"/>
        </w:rPr>
      </w:r>
      <w:r>
        <w:rPr>
          <w:rFonts w:hint="eastAsia"/>
        </w:rPr>
      </w:r>
    </w:p>
    <w:p>
      <w:pPr>
        <w:pStyle w:val="737"/>
        <w:pBdr/>
        <w:spacing/>
        <w:ind w:firstLine="640"/>
        <w:rPr>
          <w:rFonts w:cs="仿宋_GB2312"/>
          <w:color w:val="000000"/>
          <w:lang w:val="en-US"/>
        </w:rPr>
      </w:pPr>
      <w:r>
        <w:rPr>
          <w:rFonts w:hint="eastAsia" w:cs="仿宋_GB2312"/>
          <w:color w:val="000000"/>
        </w:rPr>
        <w:t xml:space="preserve">同时，也必须清醒地看到，</w:t>
      </w:r>
      <w:r>
        <w:rPr>
          <w:rFonts w:hint="eastAsia" w:hAnsi="仿宋" w:cs="仿宋"/>
          <w:color w:val="000000"/>
        </w:rPr>
        <w:t xml:space="preserve">我市正处于转型升级、爬坡过坎的关键阶段，发展不平衡不充分问题还比较突出。主要是，经济总量小，基础弱；县域经济不够强，农业产业化程度不够高，转型升级任务依然繁重；推进乡村振兴、统筹城乡发展任重道远；重点领域关键环节改革任务仍然艰巨，科技创新活力不足，人才短缺对经济发展的制约亟待破解；社会治理能力有待进一步提升，营商环境仍需优化；生态保护责任重大，实现“绿水青山就是金山银山”还需付出更大努力；民生领域短板和欠账依然较多，</w:t>
      </w:r>
      <w:r>
        <w:rPr>
          <w:rFonts w:hint="eastAsia" w:cs="仿宋_GB2312"/>
          <w:color w:val="000000"/>
          <w:lang w:val="en-US"/>
        </w:rPr>
        <w:t xml:space="preserve">与人民群众对美好生活的向往还有差距。</w:t>
      </w:r>
      <w:r>
        <w:rPr>
          <w:rFonts w:cs="仿宋_GB2312"/>
          <w:color w:val="000000"/>
          <w:lang w:val="en-US"/>
        </w:rPr>
      </w:r>
      <w:r>
        <w:rPr>
          <w:rFonts w:cs="仿宋_GB2312"/>
          <w:color w:val="000000"/>
          <w:lang w:val="en-US"/>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bookmarkStart w:id="19" w:name="_Toc7480"/>
      <w:r>
        <w:rPr>
          <w:rFonts w:hint="eastAsia" w:ascii="黑体" w:hAnsi="黑体" w:eastAsia="黑体" w:cs="黑体"/>
          <w:b w:val="0"/>
          <w:bCs w:val="0"/>
          <w:color w:val="000000"/>
        </w:rPr>
        <w:t xml:space="preserve">二、发展环境</w:t>
      </w:r>
      <w:bookmarkEnd w:id="19"/>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rFonts w:cs="仿宋_GB2312"/>
          <w:color w:val="000000"/>
        </w:rPr>
      </w:pPr>
      <w:r>
        <w:rPr>
          <w:rFonts w:hint="eastAsia" w:cs="仿宋_GB2312"/>
          <w:color w:val="000000"/>
        </w:rPr>
        <w:t xml:space="preserve">当前，虽然国际国内形势错综复杂，国内经济下行压力加大，区域发展竞争日趋激烈，发展的不确定性增多、挑战性增强，但总体上看，</w:t>
      </w:r>
      <w:r>
        <w:rPr>
          <w:rFonts w:hint="eastAsia" w:cs="仿宋_GB2312"/>
          <w:color w:val="000000"/>
          <w:lang w:val="en-US"/>
        </w:rPr>
        <w:t xml:space="preserve">“十四五”时期，</w:t>
      </w:r>
      <w:r>
        <w:rPr>
          <w:rFonts w:hint="eastAsia" w:hAnsi="仿宋" w:cs="仿宋"/>
          <w:color w:val="000000"/>
        </w:rPr>
        <w:t xml:space="preserve">我</w:t>
      </w:r>
      <w:r>
        <w:rPr>
          <w:rFonts w:hint="eastAsia" w:cs="仿宋_GB2312"/>
          <w:color w:val="000000"/>
        </w:rPr>
        <w:t xml:space="preserve">市进入新发展阶段，处</w:t>
      </w:r>
      <w:r>
        <w:rPr>
          <w:rFonts w:hint="eastAsia" w:hAnsi="仿宋" w:cs="仿宋"/>
          <w:color w:val="000000"/>
        </w:rPr>
        <w:t xml:space="preserve">于战略机遇叠加期、政策红利释放期、发展布局优化期、积势蓄能迸发期、市域治理提升期，机遇大于挑战，前景十分广阔。</w:t>
      </w:r>
      <w:r>
        <w:rPr>
          <w:rFonts w:cs="仿宋_GB2312"/>
          <w:color w:val="000000"/>
        </w:rPr>
      </w:r>
      <w:r>
        <w:rPr>
          <w:rFonts w:cs="仿宋_GB2312"/>
          <w:color w:val="000000"/>
        </w:rPr>
      </w:r>
    </w:p>
    <w:p>
      <w:pPr>
        <w:pStyle w:val="737"/>
        <w:pBdr/>
        <w:spacing/>
        <w:ind w:firstLine="643"/>
        <w:rPr>
          <w:rFonts w:hint="eastAsia" w:hAnsi="仿宋" w:cs="仿宋"/>
          <w:color w:val="000000"/>
        </w:rPr>
      </w:pPr>
      <w:r>
        <w:rPr>
          <w:rFonts w:hint="eastAsia" w:ascii="Times New Roman" w:hAnsi="Times New Roman" w:eastAsia="楷体_GB2312"/>
          <w:b/>
          <w:bCs/>
          <w:color w:val="000000"/>
        </w:rPr>
        <w:t xml:space="preserve">从发展大势看</w:t>
      </w:r>
      <w:r>
        <w:rPr>
          <w:rFonts w:hint="eastAsia" w:hAnsi="仿宋" w:cs="仿宋"/>
          <w:b/>
          <w:bCs/>
          <w:color w:val="000000"/>
        </w:rPr>
        <w:t xml:space="preserve">。</w:t>
      </w:r>
      <w:r>
        <w:rPr>
          <w:rFonts w:hint="eastAsia" w:hAnsi="仿宋" w:cs="仿宋"/>
          <w:color w:val="000000"/>
        </w:rPr>
        <w:t xml:space="preserve">世界百年未有之大变局进入加速演变期，新一轮科技革命和产业变革深入发展，全球新冠肺炎疫情大流行带来巨大变量。我国已转向高质量发展阶段，制度优势显著，治理效能提升，经济长期向好，物质基础雄厚，人力资源丰富，市场空间广阔，发展韧性增强，社会大局稳定，发展具有多方面有利条件</w:t>
      </w:r>
      <w:r>
        <w:rPr>
          <w:rFonts w:hint="eastAsia" w:cs="仿宋_GB2312"/>
          <w:color w:val="000000"/>
          <w:lang w:val="en-US"/>
        </w:rPr>
        <w:t xml:space="preserve">，有利于我市形成创新发展、转型发展和高质量发展的良好氛围。</w:t>
      </w:r>
      <w:r>
        <w:rPr>
          <w:rFonts w:hint="eastAsia" w:ascii="Times New Roman" w:hAnsi="Times New Roman" w:eastAsia="楷体_GB2312"/>
          <w:b/>
          <w:bCs/>
          <w:color w:val="000000"/>
        </w:rPr>
        <w:t xml:space="preserve">从发展支撑看</w:t>
      </w:r>
      <w:r>
        <w:rPr>
          <w:rFonts w:hint="eastAsia" w:hAnsi="仿宋" w:cs="仿宋"/>
          <w:b/>
          <w:bCs/>
          <w:color w:val="000000"/>
        </w:rPr>
        <w:t xml:space="preserve">。</w:t>
      </w:r>
      <w:r>
        <w:rPr>
          <w:rFonts w:hint="eastAsia" w:hAnsi="仿宋" w:cs="仿宋"/>
          <w:color w:val="000000"/>
        </w:rPr>
        <w:t xml:space="preserve">以国内大循环为主体、国内国际双循环相互促进的新发展格局加速构建，长江经济带、汉江生态经济带、淮河生态经济带等国家重大战略在随州叠加，湖北“一主引领、两翼驱动、全域协同”区域发展布局赋予随州新使命，均为随州发展带来宝贵机遇和战略支撑。</w:t>
      </w:r>
      <w:r>
        <w:rPr>
          <w:rFonts w:hint="eastAsia" w:ascii="Times New Roman" w:hAnsi="Times New Roman" w:eastAsia="楷体_GB2312"/>
          <w:b/>
          <w:bCs/>
          <w:color w:val="000000"/>
        </w:rPr>
        <w:t xml:space="preserve">从发展基础看</w:t>
      </w:r>
      <w:r>
        <w:rPr>
          <w:rFonts w:hint="eastAsia" w:hAnsi="仿宋" w:cs="仿宋"/>
          <w:b/>
          <w:bCs/>
          <w:color w:val="000000"/>
        </w:rPr>
        <w:t xml:space="preserve">。</w:t>
      </w:r>
      <w:r>
        <w:rPr>
          <w:rFonts w:hint="eastAsia" w:hAnsi="仿宋" w:cs="仿宋"/>
          <w:color w:val="000000"/>
        </w:rPr>
        <w:t xml:space="preserve">经过“十三五”时期发展，我市区位、资源、文化、生态等多方面优势正在扩大，产业特质鲜明，成长潜力巨大，经济长期向好的基本面没有改变。</w:t>
      </w:r>
      <w:r>
        <w:rPr>
          <w:rFonts w:hint="eastAsia" w:ascii="Times New Roman" w:hAnsi="Times New Roman" w:eastAsia="楷体_GB2312"/>
          <w:b/>
          <w:bCs/>
          <w:color w:val="000000"/>
        </w:rPr>
        <w:t xml:space="preserve">从发展气场看</w:t>
      </w:r>
      <w:r>
        <w:rPr>
          <w:rFonts w:hint="eastAsia" w:hAnsi="仿宋" w:cs="仿宋"/>
          <w:b/>
          <w:bCs/>
          <w:color w:val="000000"/>
        </w:rPr>
        <w:t xml:space="preserve">。</w:t>
      </w:r>
      <w:r>
        <w:rPr>
          <w:rFonts w:hint="eastAsia" w:hAnsi="仿宋" w:cs="仿宋"/>
          <w:color w:val="000000"/>
        </w:rPr>
        <w:t xml:space="preserve">党中央一揽子支持政策提供强力支撑，伟大抗疫精神正转化为推动发展的强大内生动力，广大党员干部群众奋发向上、求变求强，干事创业热情高涨，随州完全有信心、有底气、有能力在新发展阶段实现更大作为。</w:t>
      </w:r>
      <w:r>
        <w:rPr>
          <w:rFonts w:hint="eastAsia" w:hAnsi="仿宋" w:cs="仿宋"/>
          <w:color w:val="000000"/>
        </w:rPr>
      </w:r>
      <w:r>
        <w:rPr>
          <w:rFonts w:hint="eastAsia" w:hAnsi="仿宋" w:cs="仿宋"/>
          <w:color w:val="000000"/>
        </w:rPr>
      </w:r>
    </w:p>
    <w:p>
      <w:pPr>
        <w:pStyle w:val="737"/>
        <w:pBdr/>
        <w:spacing/>
        <w:ind w:firstLine="640"/>
        <w:rPr>
          <w:rFonts w:hint="eastAsia" w:hAnsi="仿宋" w:cs="仿宋"/>
          <w:color w:val="000000"/>
        </w:rPr>
      </w:pPr>
      <w:r>
        <w:rPr>
          <w:color w:val="000000"/>
        </w:rPr>
        <w:t xml:space="preserve">“</w:t>
      </w:r>
      <w:r>
        <w:rPr>
          <w:rFonts w:hint="eastAsia" w:cs="仿宋_GB2312"/>
          <w:color w:val="000000"/>
        </w:rPr>
        <w:t xml:space="preserve">十四五</w:t>
      </w:r>
      <w:r>
        <w:rPr>
          <w:color w:val="000000"/>
        </w:rPr>
        <w:t xml:space="preserve">”</w:t>
      </w:r>
      <w:r>
        <w:rPr>
          <w:rFonts w:hint="eastAsia" w:cs="仿宋_GB2312"/>
          <w:color w:val="000000"/>
        </w:rPr>
        <w:t xml:space="preserve">时期，</w:t>
      </w:r>
      <w:r>
        <w:rPr>
          <w:rFonts w:hint="eastAsia" w:hAnsi="仿宋" w:cs="仿宋"/>
          <w:color w:val="000000"/>
        </w:rPr>
        <w:t xml:space="preserve">全市上下要胸怀“两个大局”，以全面、辩证、长远、系统的眼光看待新发展阶段的新机遇和新挑战，准确识变、科学应变、主动求变，开好顶风船、打好主动仗，以自身发展的确定性应对外部环境的不确定性，努力在危机中育先机、于变局中开新局。</w:t>
      </w:r>
      <w:r>
        <w:rPr>
          <w:rFonts w:hint="eastAsia" w:hAnsi="仿宋" w:cs="仿宋"/>
          <w:color w:val="000000"/>
        </w:rPr>
      </w:r>
      <w:r>
        <w:rPr>
          <w:rFonts w:hint="eastAsia" w:hAnsi="仿宋" w:cs="仿宋"/>
          <w:color w:val="000000"/>
        </w:rPr>
      </w:r>
    </w:p>
    <w:p>
      <w:pPr>
        <w:pStyle w:val="737"/>
        <w:pBdr/>
        <w:spacing/>
        <w:ind w:firstLine="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bookmarkStart w:id="20" w:name="_Toc30258"/>
      <w:r>
        <w:rPr>
          <w:rFonts w:hint="eastAsia" w:ascii="黑体" w:hAnsi="黑体" w:eastAsia="黑体" w:cs="黑体"/>
          <w:b w:val="0"/>
          <w:bCs w:val="0"/>
          <w:color w:val="000000"/>
        </w:rPr>
        <w:t xml:space="preserve">三、指导思想</w:t>
      </w:r>
      <w:bookmarkEnd w:id="20"/>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rFonts w:hint="eastAsia" w:hAnsi="仿宋" w:cs="仿宋"/>
          <w:color w:val="000000"/>
        </w:rPr>
      </w:pPr>
      <w:r>
        <w:rPr>
          <w:rFonts w:hint="eastAsia" w:hAnsi="仿宋" w:cs="仿宋"/>
          <w:color w:val="000000"/>
        </w:rPr>
        <w:t xml:space="preserve">高举中国特色社会主义伟大旗帜，深入贯彻党的十九大和十九届二中、三中、四中、五中全会精神，坚持以马克思列宁主义、毛泽东思想、邓小平理论、“三个代表”重要思想、科学发展观、习近平新时代中国特色社会主义思想为指导，牢记习近平总书记“四个切实”“四个着力”殷殷嘱托，统筹推进“五位一体”总体布局，协调推进“四个全面”战略布局，立足新发展阶段，坚持新发展理念，融入新发展格局，坚持稳中求进工作总基调，以推动</w:t>
      </w:r>
      <w:r>
        <w:rPr>
          <w:rFonts w:hint="eastAsia" w:hAnsi="仿宋" w:cs="仿宋"/>
          <w:color w:val="000000"/>
        </w:rPr>
        <w:t xml:space="preserve">高质量发展为主题，以深化供给侧结构性改革为主线，以改革创新为根本动力，以满足人民日益增长的美好生活需要为根本目的，主动承接全省“一主引领、两翼驱动、全域协同”区域发展布局，全面融入“襄十随神”城市群建设，加快形成“桥接汉襄、融通鄂豫、众星拱月”的联动发展新局面，建设成为全国具有引领力的专汽之都、具有影响力的现代农港、具有吸引力的谒祖圣地、具有竞争力的风机名城，奋力打造全省特色增长极，努力实现“汉襄肱骨、神韵随州”目标定位，为湖北“建成支点、走在前列、谱写新篇”作出随州贡献，开启全面建设社会主义现代化新征程。</w:t>
      </w:r>
      <w:r>
        <w:rPr>
          <w:rFonts w:hint="eastAsia" w:hAnsi="仿宋" w:cs="仿宋"/>
          <w:color w:val="000000"/>
        </w:rPr>
      </w:r>
      <w:r>
        <w:rPr>
          <w:rFonts w:hint="eastAsia" w:hAnsi="仿宋" w:cs="仿宋"/>
          <w:color w:val="000000"/>
        </w:rPr>
      </w:r>
    </w:p>
    <w:p>
      <w:pPr>
        <w:pStyle w:val="817"/>
        <w:pBdr/>
        <w:spacing/>
        <w:ind/>
        <w:rPr/>
      </w:pPr>
      <w:r/>
      <w:r/>
    </w:p>
    <w:p>
      <w:pPr>
        <w:pStyle w:val="739"/>
        <w:pBdr/>
        <w:spacing/>
        <w:ind w:firstLine="720"/>
        <w:rPr>
          <w:rFonts w:hint="eastAsia" w:ascii="黑体" w:hAnsi="黑体" w:eastAsia="黑体" w:cs="黑体"/>
          <w:b w:val="0"/>
          <w:bCs w:val="0"/>
          <w:color w:val="000000"/>
        </w:rPr>
      </w:pPr>
      <w:r/>
      <w:bookmarkStart w:id="21" w:name="_Toc23654"/>
      <w:r>
        <w:rPr>
          <w:rFonts w:hint="eastAsia" w:ascii="黑体" w:hAnsi="黑体" w:eastAsia="黑体" w:cs="黑体"/>
          <w:b w:val="0"/>
          <w:bCs w:val="0"/>
          <w:color w:val="000000"/>
        </w:rPr>
        <w:t xml:space="preserve">四、基本原则</w:t>
      </w:r>
      <w:bookmarkEnd w:id="21"/>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3"/>
        <w:rPr>
          <w:rFonts w:hint="eastAsia" w:hAnsi="仿宋" w:cs="仿宋"/>
          <w:color w:val="000000"/>
        </w:rPr>
      </w:pPr>
      <w:r>
        <w:rPr>
          <w:rFonts w:hint="eastAsia" w:ascii="Times New Roman" w:hAnsi="Times New Roman" w:eastAsia="楷体_GB2312"/>
          <w:b/>
          <w:bCs/>
          <w:color w:val="000000"/>
        </w:rPr>
        <w:t xml:space="preserve">——坚持党的全面领导。</w:t>
      </w:r>
      <w:r>
        <w:rPr>
          <w:rFonts w:hint="eastAsia" w:hAnsi="仿宋" w:cs="仿宋"/>
          <w:color w:val="000000"/>
        </w:rPr>
        <w:t xml:space="preserve">增强“四个意识”、坚定“四个自信”、做到“两个维护”，坚决执行维护党中央权威和集中统一领导的各项制度，完善各级党委领导经济工作体制机制，不断提高贯彻新发展理念、构建新发展格局的能力和水平，为实现高质量发展提供根本保证。</w:t>
      </w:r>
      <w:r>
        <w:rPr>
          <w:rFonts w:hint="eastAsia" w:hAnsi="仿宋" w:cs="仿宋"/>
          <w:color w:val="000000"/>
        </w:rPr>
      </w:r>
      <w:r>
        <w:rPr>
          <w:rFonts w:hint="eastAsia" w:hAnsi="仿宋" w:cs="仿宋"/>
          <w:color w:val="000000"/>
        </w:rPr>
      </w:r>
    </w:p>
    <w:p>
      <w:pPr>
        <w:pStyle w:val="737"/>
        <w:pBdr/>
        <w:spacing/>
        <w:ind w:firstLine="643"/>
        <w:rPr>
          <w:rFonts w:hint="eastAsia" w:hAnsi="仿宋" w:cs="仿宋"/>
          <w:color w:val="000000"/>
        </w:rPr>
      </w:pPr>
      <w:r>
        <w:rPr>
          <w:rFonts w:hint="eastAsia" w:ascii="Times New Roman" w:hAnsi="Times New Roman" w:eastAsia="楷体_GB2312"/>
          <w:b/>
          <w:bCs/>
          <w:color w:val="000000"/>
        </w:rPr>
        <w:t xml:space="preserve">——坚持以人民为中心。</w:t>
      </w:r>
      <w:r>
        <w:rPr>
          <w:rFonts w:hint="eastAsia" w:hAnsi="仿宋" w:cs="仿宋"/>
          <w:color w:val="000000"/>
        </w:rPr>
        <w:t xml:space="preserve">坚持人民主体地位，坚持共同富裕方向，始终做到发展为了人民、发展依靠人民、发展成果由人民共享，办好民生事业，补齐民生短板，增进民生福祉，不断实现人民对美好生活的向往。</w:t>
      </w:r>
      <w:r>
        <w:rPr>
          <w:rFonts w:hint="eastAsia" w:hAnsi="仿宋" w:cs="仿宋"/>
          <w:color w:val="000000"/>
        </w:rPr>
      </w:r>
      <w:r>
        <w:rPr>
          <w:rFonts w:hint="eastAsia" w:hAnsi="仿宋" w:cs="仿宋"/>
          <w:color w:val="000000"/>
        </w:rPr>
      </w:r>
    </w:p>
    <w:p>
      <w:pPr>
        <w:pStyle w:val="737"/>
        <w:pBdr/>
        <w:spacing/>
        <w:ind w:firstLine="643"/>
        <w:rPr>
          <w:rFonts w:hint="eastAsia" w:hAnsi="仿宋" w:cs="仿宋"/>
          <w:color w:val="000000"/>
        </w:rPr>
      </w:pPr>
      <w:r>
        <w:rPr>
          <w:rFonts w:hint="eastAsia" w:ascii="Times New Roman" w:hAnsi="Times New Roman" w:eastAsia="楷体_GB2312"/>
          <w:b/>
          <w:bCs/>
          <w:color w:val="000000"/>
        </w:rPr>
        <w:t xml:space="preserve">——坚持新发展理念。</w:t>
      </w:r>
      <w:r>
        <w:rPr>
          <w:rFonts w:hint="eastAsia" w:hAnsi="仿宋" w:cs="仿宋"/>
          <w:color w:val="000000"/>
        </w:rPr>
        <w:t xml:space="preserve">更加自觉地把新发展理念作为“指挥棒”“红绿灯”，贯穿发展全过程和各领域，融入新发展格局，切实转变发展方式，推动质量变革、效率变革、动力变革，实现更高质量、更有效率、更加公平、更可持续、更为安全的发展。</w:t>
      </w:r>
      <w:r>
        <w:rPr>
          <w:rFonts w:hint="eastAsia" w:hAnsi="仿宋" w:cs="仿宋"/>
          <w:color w:val="000000"/>
        </w:rPr>
      </w:r>
      <w:r>
        <w:rPr>
          <w:rFonts w:hint="eastAsia" w:hAnsi="仿宋" w:cs="仿宋"/>
          <w:color w:val="000000"/>
        </w:rPr>
      </w:r>
    </w:p>
    <w:p>
      <w:pPr>
        <w:pStyle w:val="737"/>
        <w:pBdr/>
        <w:spacing/>
        <w:ind w:firstLine="643"/>
        <w:rPr>
          <w:rFonts w:hint="eastAsia" w:hAnsi="仿宋" w:cs="仿宋"/>
          <w:color w:val="000000"/>
        </w:rPr>
      </w:pPr>
      <w:r>
        <w:rPr>
          <w:rFonts w:hint="eastAsia" w:ascii="Times New Roman" w:hAnsi="Times New Roman" w:eastAsia="楷体_GB2312"/>
          <w:b/>
          <w:bCs/>
          <w:color w:val="000000"/>
        </w:rPr>
        <w:t xml:space="preserve">——坚持改革开放创新。</w:t>
      </w:r>
      <w:r>
        <w:rPr>
          <w:rFonts w:hint="eastAsia" w:hAnsi="仿宋" w:cs="仿宋"/>
          <w:color w:val="000000"/>
        </w:rPr>
        <w:t xml:space="preserve">坚定不移吃“改革饭”、走“开放路”、打“创新牌”，推进更深层次改革、更高水平开放、更大力度创新，破除影响高质量发展、高品质生活、高效能治理的体制机制障碍，持续增强发展动力和活力。</w:t>
      </w:r>
      <w:r>
        <w:rPr>
          <w:rFonts w:hint="eastAsia" w:hAnsi="仿宋" w:cs="仿宋"/>
          <w:color w:val="000000"/>
        </w:rPr>
      </w:r>
      <w:r>
        <w:rPr>
          <w:rFonts w:hint="eastAsia" w:hAnsi="仿宋" w:cs="仿宋"/>
          <w:color w:val="000000"/>
        </w:rPr>
      </w:r>
    </w:p>
    <w:p>
      <w:pPr>
        <w:pStyle w:val="737"/>
        <w:pBdr/>
        <w:spacing/>
        <w:ind w:firstLine="643"/>
        <w:rPr>
          <w:rFonts w:hint="eastAsia" w:hAnsi="仿宋" w:cs="仿宋"/>
          <w:color w:val="000000"/>
        </w:rPr>
      </w:pPr>
      <w:r>
        <w:rPr>
          <w:rFonts w:hint="eastAsia" w:ascii="Times New Roman" w:hAnsi="Times New Roman" w:eastAsia="楷体_GB2312"/>
          <w:b/>
          <w:bCs/>
          <w:color w:val="000000"/>
        </w:rPr>
        <w:t xml:space="preserve">——坚持以特制胜。</w:t>
      </w:r>
      <w:r>
        <w:rPr>
          <w:rFonts w:hint="eastAsia" w:hAnsi="仿宋" w:cs="仿宋"/>
          <w:color w:val="000000"/>
        </w:rPr>
        <w:t xml:space="preserve">顺应大势、保持定力，立足自身优势、资源禀赋、产业基础，把握好随州发展的阶段性特征，更好地放大区位、产业、文化、生态等比较优势，不比块头比特色、不比规模比质量，努力以差异化领域的创新突破，推动全市经济社会高质量发展。</w:t>
      </w:r>
      <w:r>
        <w:rPr>
          <w:rFonts w:hint="eastAsia" w:hAnsi="仿宋" w:cs="仿宋"/>
          <w:color w:val="000000"/>
        </w:rPr>
      </w:r>
      <w:r>
        <w:rPr>
          <w:rFonts w:hint="eastAsia" w:hAnsi="仿宋" w:cs="仿宋"/>
          <w:color w:val="000000"/>
        </w:rPr>
      </w:r>
    </w:p>
    <w:p>
      <w:pPr>
        <w:pStyle w:val="737"/>
        <w:pBdr/>
        <w:spacing/>
        <w:ind w:firstLine="643"/>
        <w:rPr>
          <w:rFonts w:hint="eastAsia" w:hAnsi="仿宋" w:cs="仿宋"/>
          <w:color w:val="000000"/>
        </w:rPr>
      </w:pPr>
      <w:r>
        <w:rPr>
          <w:rFonts w:hint="eastAsia" w:ascii="Times New Roman" w:hAnsi="Times New Roman" w:eastAsia="楷体_GB2312"/>
          <w:b/>
          <w:bCs/>
          <w:color w:val="000000"/>
        </w:rPr>
        <w:t xml:space="preserve">——坚持系统观念。</w:t>
      </w:r>
      <w:r>
        <w:rPr>
          <w:rFonts w:hint="eastAsia" w:hAnsi="仿宋" w:cs="仿宋"/>
          <w:color w:val="000000"/>
        </w:rPr>
        <w:t xml:space="preserve">加强前瞻性思考、全局性谋划、战略性布局、整体性推进，更加注重从全局谋划一域、以一域服务全局，加强政策协调配合，着力固根基、扬优势、补短板、强弱项，注重防范化解重大风险挑战，实现发展质量、结构、规模、速度、效益、安全相统一。</w:t>
      </w:r>
      <w:r>
        <w:rPr>
          <w:rFonts w:hint="eastAsia" w:hAnsi="仿宋" w:cs="仿宋"/>
          <w:color w:val="000000"/>
        </w:rPr>
      </w:r>
      <w:r>
        <w:rPr>
          <w:rFonts w:hint="eastAsia" w:hAnsi="仿宋" w:cs="仿宋"/>
          <w:color w:val="000000"/>
        </w:rPr>
      </w:r>
    </w:p>
    <w:p>
      <w:pPr>
        <w:pStyle w:val="737"/>
        <w:pBdr/>
        <w:spacing/>
        <w:ind w:firstLine="0"/>
        <w:rPr>
          <w:color w:val="000000"/>
        </w:rPr>
      </w:pPr>
      <w:r>
        <w:rPr>
          <w:color w:val="000000"/>
        </w:rPr>
      </w:r>
      <w:r>
        <w:rPr>
          <w:color w:val="000000"/>
        </w:rPr>
      </w:r>
    </w:p>
    <w:p>
      <w:pPr>
        <w:pStyle w:val="739"/>
        <w:pBdr/>
        <w:spacing w:line="560" w:lineRule="exact"/>
        <w:ind w:firstLine="720"/>
        <w:rPr>
          <w:rFonts w:hint="eastAsia" w:ascii="黑体" w:hAnsi="黑体" w:eastAsia="黑体" w:cs="黑体"/>
          <w:b w:val="0"/>
          <w:bCs w:val="0"/>
          <w:color w:val="000000"/>
        </w:rPr>
      </w:pPr>
      <w:r/>
      <w:bookmarkStart w:id="22" w:name="_Toc27771"/>
      <w:r/>
      <w:bookmarkStart w:id="23" w:name="_Toc6800"/>
      <w:r>
        <w:rPr>
          <w:rFonts w:hint="eastAsia" w:ascii="黑体" w:hAnsi="黑体" w:eastAsia="黑体" w:cs="黑体"/>
          <w:b w:val="0"/>
          <w:bCs w:val="0"/>
          <w:color w:val="000000"/>
        </w:rPr>
        <w:t xml:space="preserve">五、发展目标</w:t>
      </w:r>
      <w:bookmarkEnd w:id="22"/>
      <w:r/>
      <w:bookmarkEnd w:id="23"/>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rFonts w:hint="eastAsia" w:cs="仿宋_GB2312"/>
          <w:color w:val="000000"/>
        </w:rPr>
      </w:pPr>
      <w:r>
        <w:rPr>
          <w:rFonts w:hint="eastAsia" w:hAnsi="仿宋" w:cs="仿宋"/>
          <w:color w:val="000000"/>
        </w:rPr>
        <w:t xml:space="preserve">展望二</w:t>
      </w:r>
      <w:r>
        <w:rPr>
          <w:rFonts w:hint="eastAsia" w:hAnsi="仿宋" w:eastAsia="方正仿宋_GBK" w:cs="仿宋"/>
          <w:color w:val="000000"/>
        </w:rPr>
        <w:t xml:space="preserve">〇</w:t>
      </w:r>
      <w:r>
        <w:rPr>
          <w:rFonts w:hint="eastAsia" w:hAnsi="仿宋" w:cs="仿宋"/>
          <w:color w:val="000000"/>
        </w:rPr>
        <w:t xml:space="preserve">三五年，随州将与全国全省同步基本实现社会主义现代化，全市经济实力、科技实力、综合实力大幅提升，经济总量和城乡居民收入迈上新台阶，基本实现新型工业化、信息化、城镇化、农业现代化，</w:t>
      </w:r>
      <w:r>
        <w:rPr>
          <w:rFonts w:hint="eastAsia" w:hAnsi="仿宋" w:cs="仿宋"/>
          <w:color w:val="000000"/>
          <w:lang w:val="en-US"/>
        </w:rPr>
        <w:t xml:space="preserve">现代化经济体系基本建成，形成与</w:t>
      </w:r>
      <w:r>
        <w:rPr>
          <w:rFonts w:hint="eastAsia" w:hAnsi="仿宋" w:cs="仿宋"/>
          <w:color w:val="000000"/>
        </w:rPr>
        <w:t xml:space="preserve">“汉襄肱骨、神韵随州”</w:t>
      </w:r>
      <w:r>
        <w:rPr>
          <w:rFonts w:hint="eastAsia" w:hAnsi="仿宋" w:cs="仿宋"/>
          <w:color w:val="000000"/>
          <w:lang w:val="en-US"/>
        </w:rPr>
        <w:t xml:space="preserve">相适应的综合实力</w:t>
      </w:r>
      <w:r>
        <w:rPr>
          <w:rFonts w:hint="eastAsia" w:hAnsi="仿宋" w:cs="仿宋"/>
          <w:color w:val="000000"/>
        </w:rPr>
        <w:t xml:space="preserve">。成为全省重要的创新型城市，科技逐步成为经济增长的主动力，产业迈向中高端水平，数字随州建设取得重要进展。</w:t>
      </w:r>
      <w:r>
        <w:rPr>
          <w:rFonts w:hint="eastAsia" w:hAnsi="仿宋" w:cs="仿宋"/>
          <w:color w:val="000000"/>
        </w:rPr>
        <w:t xml:space="preserve">城市运行更加安全高效，城市空间格局、经济格局、城乡格局进一步优化，县域经济、块状经济实力大幅提升，城乡区域发展差距和居民生活水平差距明显缩小。城乡居民素质和社会文明程度显著提升，文化软实力显著增强。广泛形成绿色生产生活方式，生态环境根本好转，鄂北生态屏障基本建成。各方面制度更加完善，基本实现治理体系和治理能力现代化，平安随州和法治随州建设达到更高水平。中等收入群体比例明显提高，教育、医疗、养老、文化、体育等公共服务优质高效，较好满足全市人民日益增长的美好生活需要，人的全面发展、全市人民共同富裕迈出坚实步伐。</w:t>
      </w:r>
      <w:r>
        <w:rPr>
          <w:rFonts w:hint="eastAsia" w:cs="仿宋_GB2312"/>
          <w:color w:val="000000"/>
        </w:rPr>
      </w:r>
      <w:r>
        <w:rPr>
          <w:rFonts w:hint="eastAsia" w:cs="仿宋_GB2312"/>
          <w:color w:val="000000"/>
        </w:rPr>
      </w:r>
    </w:p>
    <w:p>
      <w:pPr>
        <w:pStyle w:val="737"/>
        <w:pBdr/>
        <w:spacing w:line="560" w:lineRule="exact"/>
        <w:ind w:firstLine="640"/>
        <w:rPr>
          <w:color w:val="000000"/>
        </w:rPr>
      </w:pPr>
      <w:r>
        <w:rPr>
          <w:rFonts w:hint="eastAsia" w:cs="仿宋_GB2312"/>
          <w:color w:val="000000"/>
        </w:rPr>
        <w:t xml:space="preserve">锚定二○三五年远景目标，统筹考虑我市发展阶段、发展环境和发展条件，今后五年经济社会发展必须努力实现以下目标：</w:t>
      </w:r>
      <w:r>
        <w:rPr>
          <w:color w:val="000000"/>
        </w:rPr>
      </w:r>
      <w:r>
        <w:rPr>
          <w:color w:val="000000"/>
        </w:rPr>
      </w:r>
    </w:p>
    <w:p>
      <w:pPr>
        <w:pStyle w:val="737"/>
        <w:pBdr/>
        <w:spacing/>
        <w:ind w:firstLine="643"/>
        <w:rPr>
          <w:rFonts w:hint="eastAsia" w:hAnsi="仿宋" w:cs="仿宋"/>
          <w:color w:val="000000"/>
        </w:rPr>
      </w:pPr>
      <w:r>
        <w:rPr>
          <w:rFonts w:hint="eastAsia" w:ascii="Times New Roman" w:hAnsi="Times New Roman" w:eastAsia="楷体_GB2312"/>
          <w:b/>
          <w:bCs/>
          <w:color w:val="000000"/>
        </w:rPr>
        <w:t xml:space="preserve">——高质量发展迈出坚实步伐。</w:t>
      </w:r>
      <w:r>
        <w:rPr>
          <w:rFonts w:hint="eastAsia" w:hAnsi="仿宋" w:cs="仿宋"/>
          <w:color w:val="000000"/>
        </w:rPr>
        <w:t xml:space="preserve">经济总量达到1800亿元，经济结构更加优化，特色产业发展格局基本形成，科技进步贡献率明显提高，数字经济成为发展新动能，发展质量和效益明显提升，初步建成全国重要的专用汽车生产基地、应急产业示范基地、航空物流装备制造基地、地铁装备产业基地、农产品加工出口基地和优秀旅游目的地，经济综合实力和各级政府财力显著提高。</w:t>
      </w:r>
      <w:r>
        <w:rPr>
          <w:rFonts w:hint="eastAsia" w:hAnsi="仿宋" w:cs="仿宋"/>
          <w:color w:val="000000"/>
        </w:rPr>
      </w:r>
      <w:r>
        <w:rPr>
          <w:rFonts w:hint="eastAsia" w:hAnsi="仿宋" w:cs="仿宋"/>
          <w:color w:val="000000"/>
        </w:rPr>
      </w:r>
    </w:p>
    <w:p>
      <w:pPr>
        <w:pStyle w:val="737"/>
        <w:pBdr/>
        <w:spacing w:line="580" w:lineRule="exact"/>
        <w:ind w:firstLine="643"/>
        <w:rPr>
          <w:rFonts w:hint="eastAsia" w:hAnsi="仿宋" w:cs="仿宋"/>
          <w:color w:val="000000"/>
        </w:rPr>
      </w:pPr>
      <w:r>
        <w:rPr>
          <w:rFonts w:hint="eastAsia" w:ascii="Times New Roman" w:hAnsi="Times New Roman" w:eastAsia="楷体_GB2312"/>
          <w:b/>
          <w:bCs/>
          <w:color w:val="000000"/>
        </w:rPr>
        <w:t xml:space="preserve">——改革开放水平明显提升。</w:t>
      </w:r>
      <w:r>
        <w:rPr>
          <w:rFonts w:hint="eastAsia" w:hAnsi="仿宋" w:cs="仿宋"/>
          <w:color w:val="000000"/>
        </w:rPr>
        <w:t xml:space="preserve">重要领域、关键环节改革取得重大进展，要素市场化配置机制更加健全，公平竞争制度更加健全，营商环境更加优化。融入新发展格局取得重要成效，外向型经济优势进一步放大；跨区域合作深度拓展，湖北对外开放“北大门”城市地位进一步彰显。</w:t>
      </w:r>
      <w:r>
        <w:rPr>
          <w:rFonts w:hint="eastAsia" w:hAnsi="仿宋" w:cs="仿宋"/>
          <w:color w:val="000000"/>
        </w:rPr>
      </w:r>
      <w:r>
        <w:rPr>
          <w:rFonts w:hint="eastAsia" w:hAnsi="仿宋" w:cs="仿宋"/>
          <w:color w:val="000000"/>
        </w:rPr>
      </w:r>
    </w:p>
    <w:p>
      <w:pPr>
        <w:pStyle w:val="737"/>
        <w:pBdr/>
        <w:spacing w:line="580" w:lineRule="exact"/>
        <w:ind w:firstLine="643"/>
        <w:rPr>
          <w:rFonts w:hint="eastAsia" w:hAnsi="仿宋" w:cs="仿宋"/>
          <w:color w:val="000000"/>
        </w:rPr>
      </w:pPr>
      <w:r>
        <w:rPr>
          <w:rFonts w:hint="eastAsia" w:ascii="Times New Roman" w:hAnsi="Times New Roman" w:eastAsia="楷体_GB2312"/>
          <w:b/>
          <w:bCs/>
          <w:color w:val="000000"/>
        </w:rPr>
        <w:t xml:space="preserve">——城市功能品质提档升级。</w:t>
      </w:r>
      <w:r>
        <w:rPr>
          <w:rFonts w:hint="eastAsia" w:hAnsi="仿宋" w:cs="仿宋"/>
          <w:color w:val="000000"/>
        </w:rPr>
        <w:t xml:space="preserve">城市空间和功能格局进一步优化，新老城区紧密融合、共同发展，城市基础设施明显改善，功能服务不断完善，环境秩序持续优化，精细化管理水平明显提升，历史文脉得到有效延续，特色风貌更好展示，城市神韵不断彰显，城镇化水平和质量稳步提升，人民群众享有更加安全、更加健康、更高品质的城市生活。</w:t>
      </w:r>
      <w:r>
        <w:rPr>
          <w:rFonts w:hint="eastAsia" w:hAnsi="仿宋" w:cs="仿宋"/>
          <w:color w:val="000000"/>
        </w:rPr>
      </w:r>
      <w:r>
        <w:rPr>
          <w:rFonts w:hint="eastAsia" w:hAnsi="仿宋" w:cs="仿宋"/>
          <w:color w:val="000000"/>
        </w:rPr>
      </w:r>
    </w:p>
    <w:p>
      <w:pPr>
        <w:pStyle w:val="737"/>
        <w:pBdr/>
        <w:spacing w:line="580" w:lineRule="exact"/>
        <w:ind w:firstLine="643"/>
        <w:rPr>
          <w:rFonts w:hint="eastAsia" w:hAnsi="仿宋" w:cs="仿宋"/>
          <w:color w:val="000000"/>
        </w:rPr>
      </w:pPr>
      <w:r>
        <w:rPr>
          <w:rFonts w:hint="eastAsia" w:ascii="Times New Roman" w:hAnsi="Times New Roman" w:eastAsia="楷体_GB2312"/>
          <w:b/>
          <w:bCs/>
          <w:color w:val="000000"/>
        </w:rPr>
        <w:t xml:space="preserve">——社会文明程度显著提高。</w:t>
      </w:r>
      <w:r>
        <w:rPr>
          <w:rFonts w:hint="eastAsia" w:hAnsi="仿宋" w:cs="仿宋"/>
          <w:color w:val="000000"/>
        </w:rPr>
        <w:t xml:space="preserve">习近平新时代中国特色社会主义思想深入人心，社会主义核心价值观融入社会发展各方面，人民思想道德素质、科学文化素质和身心健康素质明显提升，公共文化服务体系更加完善，文化事业和文化产业活力迸发，文明城市创建取得新突破，城市软实力不断增强。</w:t>
      </w:r>
      <w:r>
        <w:rPr>
          <w:rFonts w:hint="eastAsia" w:hAnsi="仿宋" w:cs="仿宋"/>
          <w:color w:val="000000"/>
        </w:rPr>
      </w:r>
      <w:r>
        <w:rPr>
          <w:rFonts w:hint="eastAsia" w:hAnsi="仿宋" w:cs="仿宋"/>
          <w:color w:val="000000"/>
        </w:rPr>
      </w:r>
    </w:p>
    <w:p>
      <w:pPr>
        <w:pStyle w:val="737"/>
        <w:pBdr/>
        <w:spacing w:line="580" w:lineRule="exact"/>
        <w:ind w:firstLine="643"/>
        <w:rPr>
          <w:rFonts w:hint="eastAsia" w:hAnsi="仿宋" w:cs="仿宋"/>
          <w:color w:val="000000"/>
        </w:rPr>
      </w:pPr>
      <w:r>
        <w:rPr>
          <w:rFonts w:hint="eastAsia" w:ascii="Times New Roman" w:hAnsi="Times New Roman" w:eastAsia="楷体_GB2312"/>
          <w:b/>
          <w:bCs/>
          <w:color w:val="000000"/>
        </w:rPr>
        <w:t xml:space="preserve">——生态安全屏障更加牢固。</w:t>
      </w:r>
      <w:r>
        <w:rPr>
          <w:rFonts w:hint="eastAsia" w:hAnsi="仿宋" w:cs="仿宋"/>
          <w:color w:val="000000"/>
        </w:rPr>
        <w:t xml:space="preserve">国土空间布局进一步优化，水、大气、土壤治理和生产生活方式绿色转型成效显著，能源资源配置更加合理、利用效率大幅提高，主要污染物排放总量持续减少，鄂北生态屏障建设取得重要进展，城乡人居环境持续改善，创建国家生态园林城市、国家生态文明建设示范城市。</w:t>
      </w:r>
      <w:r>
        <w:rPr>
          <w:rFonts w:hint="eastAsia" w:hAnsi="仿宋" w:cs="仿宋"/>
          <w:color w:val="000000"/>
        </w:rPr>
      </w:r>
      <w:r>
        <w:rPr>
          <w:rFonts w:hint="eastAsia" w:hAnsi="仿宋" w:cs="仿宋"/>
          <w:color w:val="000000"/>
        </w:rPr>
      </w:r>
    </w:p>
    <w:p>
      <w:pPr>
        <w:pStyle w:val="737"/>
        <w:pBdr/>
        <w:spacing w:line="580" w:lineRule="exact"/>
        <w:ind w:firstLine="643"/>
        <w:rPr>
          <w:rFonts w:hint="eastAsia" w:hAnsi="仿宋" w:cs="仿宋"/>
          <w:color w:val="000000"/>
        </w:rPr>
      </w:pPr>
      <w:r>
        <w:rPr>
          <w:rFonts w:hint="eastAsia" w:ascii="Times New Roman" w:hAnsi="Times New Roman" w:eastAsia="楷体_GB2312"/>
          <w:b/>
          <w:bCs/>
          <w:color w:val="000000"/>
        </w:rPr>
        <w:t xml:space="preserve">——人民生活更加幸福美好。</w:t>
      </w:r>
      <w:r>
        <w:rPr>
          <w:rFonts w:hint="eastAsia" w:hAnsi="仿宋" w:cs="仿宋"/>
          <w:color w:val="000000"/>
        </w:rPr>
        <w:t xml:space="preserve">实现更加充分更高质量就业，居民收入增长和经济增长基本同步，分配结构明显改善，基本公共服务均等化水平明显提高，全民受教育程度不断提升，多层次社会保障体系更加健全，谱写疾控体系改革和公共卫生体系建设“湖北样板”的“随州篇”，脱贫攻坚成果巩固拓展，乡村振兴战略全面推进，城乡区域发展协调性明显增强。</w:t>
      </w:r>
      <w:r>
        <w:rPr>
          <w:rFonts w:hint="eastAsia" w:hAnsi="仿宋" w:cs="仿宋"/>
          <w:color w:val="000000"/>
        </w:rPr>
      </w:r>
      <w:r>
        <w:rPr>
          <w:rFonts w:hint="eastAsia" w:hAnsi="仿宋" w:cs="仿宋"/>
          <w:color w:val="000000"/>
        </w:rPr>
      </w:r>
    </w:p>
    <w:p>
      <w:pPr>
        <w:pStyle w:val="737"/>
        <w:pBdr/>
        <w:spacing w:line="580" w:lineRule="exact"/>
        <w:ind w:firstLine="643"/>
        <w:rPr>
          <w:rFonts w:hint="eastAsia" w:hAnsi="仿宋" w:cs="仿宋"/>
          <w:color w:val="000000"/>
        </w:rPr>
      </w:pPr>
      <w:r>
        <w:rPr>
          <w:rFonts w:hint="eastAsia" w:ascii="Times New Roman" w:hAnsi="Times New Roman" w:eastAsia="楷体_GB2312"/>
          <w:b/>
          <w:bCs/>
          <w:color w:val="000000"/>
        </w:rPr>
        <w:t xml:space="preserve">——市域治理效能达到更高水平。</w:t>
      </w:r>
      <w:r>
        <w:rPr>
          <w:rFonts w:hint="eastAsia" w:hAnsi="仿宋" w:cs="仿宋"/>
          <w:color w:val="000000"/>
        </w:rPr>
        <w:t xml:space="preserve">社会主义民主法治更加健全，社会公平正义进一步彰显，政府作用更好发挥，行政效率和公信力显著提升，社会治理水平明显提高，防范化解重大风险体制机制不断健全，自然灾害防御水平明显提升，发展安全保障更加有力。党建引领的共建共治共享的社会治理格局和自治法治德治相结合的基层治理体系基本形成，市域治理体制机制更加完善。</w:t>
      </w:r>
      <w:r>
        <w:rPr>
          <w:rFonts w:hint="eastAsia" w:hAnsi="仿宋" w:cs="仿宋"/>
          <w:color w:val="000000"/>
        </w:rPr>
      </w:r>
      <w:r>
        <w:rPr>
          <w:rFonts w:hint="eastAsia" w:hAnsi="仿宋" w:cs="仿宋"/>
          <w:color w:val="000000"/>
        </w:rPr>
      </w:r>
    </w:p>
    <w:p>
      <w:pPr>
        <w:pStyle w:val="737"/>
        <w:pBdr/>
        <w:spacing w:line="400" w:lineRule="exact"/>
        <w:ind w:firstLine="643"/>
        <w:rPr>
          <w:b/>
          <w:bCs/>
          <w:color w:val="000000"/>
        </w:rPr>
      </w:pPr>
      <w:r>
        <w:rPr>
          <w:b/>
          <w:bCs/>
          <w:color w:val="000000"/>
        </w:rPr>
      </w:r>
      <w:r>
        <w:rPr>
          <w:b/>
          <w:bCs/>
          <w:color w:val="000000"/>
        </w:rPr>
      </w:r>
    </w:p>
    <w:p>
      <w:pPr>
        <w:pStyle w:val="737"/>
        <w:pBdr/>
        <w:spacing/>
        <w:ind w:firstLine="0"/>
        <w:jc w:val="center"/>
        <w:rPr>
          <w:b/>
          <w:bCs/>
          <w:color w:val="000000"/>
        </w:rPr>
      </w:pPr>
      <w:r>
        <w:rPr>
          <w:b/>
          <w:bCs/>
          <w:color w:val="000000"/>
        </w:rPr>
        <w:t xml:space="preserve">“</w:t>
      </w:r>
      <w:r>
        <w:rPr>
          <w:rFonts w:hint="eastAsia" w:cs="黑体"/>
          <w:b/>
          <w:bCs/>
          <w:color w:val="000000"/>
        </w:rPr>
        <w:t xml:space="preserve">十四五</w:t>
      </w:r>
      <w:r>
        <w:rPr>
          <w:b/>
          <w:bCs/>
          <w:color w:val="000000"/>
        </w:rPr>
        <w:t xml:space="preserve">”</w:t>
      </w:r>
      <w:r>
        <w:rPr>
          <w:rFonts w:hint="eastAsia" w:cs="黑体"/>
          <w:b/>
          <w:bCs/>
          <w:color w:val="000000"/>
        </w:rPr>
        <w:t xml:space="preserve">时期随州市经济和社会发展主要指标</w:t>
      </w:r>
      <w:r>
        <w:rPr>
          <w:b/>
          <w:bCs/>
          <w:color w:val="000000"/>
        </w:rPr>
      </w:r>
      <w:r>
        <w:rPr>
          <w:b/>
          <w:bCs/>
          <w:color w:val="000000"/>
        </w:rPr>
      </w:r>
    </w:p>
    <w:tbl>
      <w:tblPr>
        <w:tblW w:w="10035" w:type="dxa"/>
        <w:tblInd w:w="-62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4A0" w:firstRow="1" w:lastRow="0" w:firstColumn="1" w:lastColumn="0" w:noHBand="0" w:noVBand="1"/>
      </w:tblPr>
      <w:tblGrid>
        <w:gridCol w:w="675"/>
        <w:gridCol w:w="540"/>
        <w:gridCol w:w="3930"/>
        <w:gridCol w:w="1260"/>
        <w:gridCol w:w="1305"/>
        <w:gridCol w:w="1320"/>
        <w:gridCol w:w="1005"/>
      </w:tblGrid>
      <w:tr>
        <w:trPr>
          <w:trHeight w:val="435"/>
        </w:trPr>
        <w:tc>
          <w:tcPr>
            <w:shd w:val="clear" w:color="auto" w:fill="d7d7d7"/>
            <w:tcBorders/>
            <w:tcW w:w="675" w:type="dxa"/>
            <w:vAlign w:val="center"/>
            <w:vMerge w:val="restart"/>
            <w:textDirection w:val="lrTb"/>
            <w:noWrap w:val="false"/>
          </w:tcPr>
          <w:p>
            <w:pPr>
              <w:pStyle w:val="796"/>
              <w:pBdr/>
              <w:spacing/>
              <w:ind/>
              <w:jc w:val="center"/>
              <w:rPr>
                <w:b/>
                <w:bCs/>
                <w:lang w:val="en-US"/>
              </w:rPr>
            </w:pPr>
            <w:r>
              <w:rPr>
                <w:rFonts w:hint="eastAsia" w:cs="宋体"/>
                <w:b/>
                <w:bCs/>
              </w:rPr>
              <w:t xml:space="preserve">类别</w:t>
            </w:r>
            <w:r>
              <w:rPr>
                <w:b/>
                <w:bCs/>
                <w:lang w:val="en-US"/>
              </w:rPr>
            </w:r>
            <w:r>
              <w:rPr>
                <w:b/>
                <w:bCs/>
                <w:lang w:val="en-US"/>
              </w:rPr>
            </w:r>
          </w:p>
        </w:tc>
        <w:tc>
          <w:tcPr>
            <w:shd w:val="clear" w:color="auto" w:fill="d7d7d7"/>
            <w:tcBorders/>
            <w:tcW w:w="540" w:type="dxa"/>
            <w:vAlign w:val="center"/>
            <w:vMerge w:val="restart"/>
            <w:textDirection w:val="lrTb"/>
            <w:noWrap w:val="false"/>
          </w:tcPr>
          <w:p>
            <w:pPr>
              <w:pStyle w:val="796"/>
              <w:pBdr/>
              <w:spacing/>
              <w:ind/>
              <w:jc w:val="center"/>
              <w:rPr>
                <w:b/>
                <w:bCs/>
              </w:rPr>
            </w:pPr>
            <w:r>
              <w:rPr>
                <w:rFonts w:hint="eastAsia" w:cs="宋体"/>
                <w:b/>
                <w:bCs/>
              </w:rPr>
              <w:t xml:space="preserve">序号</w:t>
            </w:r>
            <w:r>
              <w:rPr>
                <w:b/>
                <w:bCs/>
              </w:rPr>
            </w:r>
            <w:r>
              <w:rPr>
                <w:b/>
                <w:bCs/>
              </w:rPr>
            </w:r>
          </w:p>
        </w:tc>
        <w:tc>
          <w:tcPr>
            <w:shd w:val="clear" w:color="auto" w:fill="d7d7d7"/>
            <w:tcBorders/>
            <w:tcW w:w="3930" w:type="dxa"/>
            <w:vAlign w:val="center"/>
            <w:vMerge w:val="restart"/>
            <w:textDirection w:val="lrTb"/>
            <w:noWrap w:val="false"/>
          </w:tcPr>
          <w:p>
            <w:pPr>
              <w:pStyle w:val="796"/>
              <w:pBdr/>
              <w:spacing/>
              <w:ind/>
              <w:jc w:val="center"/>
              <w:rPr>
                <w:b/>
                <w:bCs/>
              </w:rPr>
            </w:pPr>
            <w:r>
              <w:rPr>
                <w:rFonts w:hint="eastAsia" w:cs="宋体"/>
                <w:b/>
                <w:bCs/>
              </w:rPr>
              <w:t xml:space="preserve">指标名称</w:t>
            </w:r>
            <w:r>
              <w:rPr>
                <w:b/>
                <w:bCs/>
              </w:rPr>
            </w:r>
            <w:r>
              <w:rPr>
                <w:b/>
                <w:bCs/>
              </w:rPr>
            </w:r>
          </w:p>
        </w:tc>
        <w:tc>
          <w:tcPr>
            <w:shd w:val="clear" w:color="auto" w:fill="d7d7d7"/>
            <w:tcBorders/>
            <w:tcW w:w="1260" w:type="dxa"/>
            <w:vAlign w:val="center"/>
            <w:vMerge w:val="restart"/>
            <w:textDirection w:val="lrTb"/>
            <w:noWrap w:val="false"/>
          </w:tcPr>
          <w:p>
            <w:pPr>
              <w:pStyle w:val="796"/>
              <w:pBdr/>
              <w:spacing/>
              <w:ind/>
              <w:jc w:val="center"/>
              <w:rPr>
                <w:b/>
                <w:bCs/>
              </w:rPr>
            </w:pPr>
            <w:r>
              <w:rPr>
                <w:b/>
                <w:bCs/>
              </w:rPr>
              <w:t xml:space="preserve">2020</w:t>
            </w:r>
            <w:r>
              <w:rPr>
                <w:rFonts w:hint="eastAsia" w:cs="宋体"/>
                <w:b/>
                <w:bCs/>
              </w:rPr>
              <w:t xml:space="preserve">年</w:t>
            </w:r>
            <w:r>
              <w:rPr>
                <w:b/>
                <w:bCs/>
              </w:rPr>
            </w:r>
            <w:r>
              <w:rPr>
                <w:b/>
                <w:bCs/>
              </w:rPr>
            </w:r>
          </w:p>
        </w:tc>
        <w:tc>
          <w:tcPr>
            <w:shd w:val="clear" w:color="auto" w:fill="d7d7d7"/>
            <w:tcBorders/>
            <w:tcW w:w="1305" w:type="dxa"/>
            <w:vAlign w:val="center"/>
            <w:vMerge w:val="restart"/>
            <w:textDirection w:val="lrTb"/>
            <w:noWrap w:val="false"/>
          </w:tcPr>
          <w:p>
            <w:pPr>
              <w:pStyle w:val="796"/>
              <w:pBdr/>
              <w:spacing/>
              <w:ind/>
              <w:jc w:val="center"/>
              <w:rPr>
                <w:b/>
                <w:bCs/>
              </w:rPr>
            </w:pPr>
            <w:r>
              <w:rPr>
                <w:b/>
                <w:bCs/>
              </w:rPr>
              <w:t xml:space="preserve">2025</w:t>
            </w:r>
            <w:r>
              <w:rPr>
                <w:rFonts w:hint="eastAsia" w:cs="宋体"/>
                <w:b/>
                <w:bCs/>
              </w:rPr>
              <w:t xml:space="preserve">年</w:t>
            </w:r>
            <w:r>
              <w:rPr>
                <w:b/>
                <w:bCs/>
              </w:rPr>
            </w:r>
            <w:r>
              <w:rPr>
                <w:b/>
                <w:bCs/>
              </w:rPr>
            </w:r>
          </w:p>
        </w:tc>
        <w:tc>
          <w:tcPr>
            <w:shd w:val="clear" w:color="auto" w:fill="d7d7d7"/>
            <w:tcBorders/>
            <w:tcW w:w="1320" w:type="dxa"/>
            <w:vAlign w:val="center"/>
            <w:vMerge w:val="restart"/>
            <w:textDirection w:val="lrTb"/>
            <w:noWrap w:val="false"/>
          </w:tcPr>
          <w:p>
            <w:pPr>
              <w:pStyle w:val="796"/>
              <w:pBdr/>
              <w:spacing/>
              <w:ind/>
              <w:jc w:val="center"/>
              <w:rPr>
                <w:rFonts w:hint="eastAsia" w:cs="宋体"/>
                <w:b/>
                <w:bCs/>
              </w:rPr>
            </w:pPr>
            <w:r>
              <w:rPr>
                <w:rFonts w:hint="eastAsia" w:cs="宋体"/>
                <w:b/>
                <w:bCs/>
              </w:rPr>
              <w:t xml:space="preserve">年均增速</w:t>
            </w:r>
            <w:r>
              <w:rPr>
                <w:rFonts w:hint="eastAsia" w:cs="宋体"/>
                <w:b/>
                <w:bCs/>
              </w:rPr>
            </w:r>
            <w:r>
              <w:rPr>
                <w:rFonts w:hint="eastAsia" w:cs="宋体"/>
                <w:b/>
                <w:bCs/>
              </w:rPr>
            </w:r>
          </w:p>
          <w:p>
            <w:pPr>
              <w:pStyle w:val="796"/>
              <w:pBdr/>
              <w:spacing/>
              <w:ind/>
              <w:jc w:val="center"/>
              <w:rPr>
                <w:b/>
                <w:bCs/>
              </w:rPr>
            </w:pPr>
            <w:r>
              <w:rPr>
                <w:rFonts w:hint="eastAsia"/>
              </w:rPr>
              <w:t xml:space="preserve">【</w:t>
            </w:r>
            <w:r>
              <w:rPr>
                <w:rFonts w:hint="eastAsia" w:cs="宋体"/>
                <w:b/>
                <w:bCs/>
              </w:rPr>
              <w:t xml:space="preserve">累计</w:t>
            </w:r>
            <w:r>
              <w:rPr>
                <w:rFonts w:hint="eastAsia"/>
              </w:rPr>
              <w:t xml:space="preserve">】</w:t>
            </w:r>
            <w:r>
              <w:rPr>
                <w:b/>
                <w:bCs/>
              </w:rPr>
            </w:r>
            <w:r>
              <w:rPr>
                <w:b/>
                <w:bCs/>
              </w:rPr>
            </w:r>
          </w:p>
        </w:tc>
        <w:tc>
          <w:tcPr>
            <w:shd w:val="clear" w:color="auto" w:fill="d7d7d7"/>
            <w:tcBorders/>
            <w:tcW w:w="1005" w:type="dxa"/>
            <w:vAlign w:val="center"/>
            <w:vMerge w:val="restart"/>
            <w:textDirection w:val="lrTb"/>
            <w:noWrap w:val="false"/>
          </w:tcPr>
          <w:p>
            <w:pPr>
              <w:pStyle w:val="796"/>
              <w:pBdr/>
              <w:spacing/>
              <w:ind/>
              <w:jc w:val="center"/>
              <w:rPr>
                <w:b/>
                <w:bCs/>
              </w:rPr>
            </w:pPr>
            <w:r>
              <w:rPr>
                <w:rFonts w:hint="eastAsia" w:cs="宋体"/>
                <w:b/>
                <w:bCs/>
              </w:rPr>
              <w:t xml:space="preserve">属性</w:t>
            </w:r>
            <w:r>
              <w:rPr>
                <w:b/>
                <w:bCs/>
              </w:rPr>
            </w:r>
            <w:r>
              <w:rPr>
                <w:b/>
                <w:bCs/>
              </w:rPr>
            </w:r>
          </w:p>
        </w:tc>
      </w:tr>
      <w:tr>
        <w:trPr>
          <w:trHeight w:val="485"/>
        </w:trPr>
        <w:tc>
          <w:tcPr>
            <w:tcBorders/>
            <w:tcW w:w="675" w:type="dxa"/>
            <w:vAlign w:val="center"/>
            <w:vMerge w:val="restart"/>
            <w:textDirection w:val="lrTb"/>
            <w:noWrap w:val="false"/>
          </w:tcPr>
          <w:p>
            <w:pPr>
              <w:pStyle w:val="796"/>
              <w:pBdr/>
              <w:spacing/>
              <w:ind/>
              <w:jc w:val="center"/>
              <w:rPr>
                <w:color w:val="000000"/>
              </w:rPr>
            </w:pPr>
            <w:r>
              <w:rPr>
                <w:rFonts w:hint="eastAsia" w:cs="宋体"/>
                <w:color w:val="000000"/>
              </w:rPr>
              <w:t xml:space="preserve">经济发展</w:t>
            </w:r>
            <w:r>
              <w:rPr>
                <w:color w:val="000000"/>
              </w:rPr>
            </w:r>
            <w:r>
              <w:rPr>
                <w:color w:val="000000"/>
              </w:rPr>
            </w:r>
          </w:p>
        </w:tc>
        <w:tc>
          <w:tcPr>
            <w:tcBorders/>
            <w:tcW w:w="540" w:type="dxa"/>
            <w:vAlign w:val="center"/>
            <w:textDirection w:val="lrTb"/>
            <w:noWrap w:val="false"/>
          </w:tcPr>
          <w:p>
            <w:pPr>
              <w:pStyle w:val="796"/>
              <w:pBdr/>
              <w:spacing/>
              <w:ind/>
              <w:jc w:val="center"/>
              <w:rPr>
                <w:color w:val="000000"/>
              </w:rPr>
            </w:pPr>
            <w:r>
              <w:rPr>
                <w:color w:val="000000"/>
              </w:rPr>
              <w:t xml:space="preserve">1</w:t>
            </w:r>
            <w:r>
              <w:rPr>
                <w:color w:val="000000"/>
              </w:rPr>
            </w:r>
            <w:r>
              <w:rPr>
                <w:color w:val="000000"/>
              </w:rPr>
            </w:r>
          </w:p>
        </w:tc>
        <w:tc>
          <w:tcPr>
            <w:tcBorders/>
            <w:tcW w:w="3930" w:type="dxa"/>
            <w:vAlign w:val="center"/>
            <w:textDirection w:val="lrTb"/>
            <w:noWrap w:val="false"/>
          </w:tcPr>
          <w:p>
            <w:pPr>
              <w:pStyle w:val="796"/>
              <w:pBdr/>
              <w:spacing/>
              <w:ind/>
              <w:rPr>
                <w:color w:val="000000"/>
              </w:rPr>
            </w:pPr>
            <w:r>
              <w:rPr>
                <w:color w:val="000000"/>
              </w:rPr>
              <w:t xml:space="preserve">GDP</w:t>
            </w:r>
            <w:r>
              <w:rPr>
                <w:rFonts w:hint="eastAsia" w:cs="宋体"/>
                <w:color w:val="000000"/>
              </w:rPr>
              <w:t xml:space="preserve">增长率（</w:t>
            </w:r>
            <w:r>
              <w:rPr>
                <w:color w:val="000000"/>
              </w:rPr>
              <w:t xml:space="preserve">%</w:t>
            </w:r>
            <w:r>
              <w:rPr>
                <w:rFonts w:hint="eastAsia" w:cs="宋体"/>
                <w:color w:val="000000"/>
              </w:rPr>
              <w:t xml:space="preserve">）</w:t>
            </w:r>
            <w:r>
              <w:rPr>
                <w:color w:val="000000"/>
              </w:rPr>
            </w:r>
            <w:r>
              <w:rPr>
                <w:color w:val="000000"/>
              </w:rPr>
            </w:r>
          </w:p>
        </w:tc>
        <w:tc>
          <w:tcPr>
            <w:tcBorders/>
            <w:tcW w:w="1260" w:type="dxa"/>
            <w:vAlign w:val="center"/>
            <w:textDirection w:val="lrTb"/>
            <w:noWrap w:val="false"/>
          </w:tcPr>
          <w:p>
            <w:pPr>
              <w:pStyle w:val="796"/>
              <w:pBdr/>
              <w:spacing/>
              <w:ind/>
              <w:jc w:val="center"/>
              <w:rPr>
                <w:rFonts w:hint="eastAsia" w:eastAsia="宋体"/>
                <w:color w:val="000000"/>
                <w:lang w:val="en-US"/>
              </w:rPr>
            </w:pPr>
            <w:r>
              <w:rPr>
                <w:rFonts w:hint="eastAsia"/>
                <w:color w:val="000000"/>
                <w:lang w:val="en-US"/>
              </w:rPr>
              <w:t xml:space="preserve">-</w:t>
            </w:r>
            <w:r>
              <w:rPr>
                <w:rFonts w:hint="eastAsia" w:eastAsia="宋体"/>
                <w:color w:val="000000"/>
                <w:lang w:val="en-US"/>
              </w:rPr>
            </w:r>
            <w:r>
              <w:rPr>
                <w:rFonts w:hint="eastAsia" w:eastAsia="宋体"/>
                <w:color w:val="000000"/>
                <w:lang w:val="en-US"/>
              </w:rPr>
            </w:r>
          </w:p>
        </w:tc>
        <w:tc>
          <w:tcPr>
            <w:tcBorders/>
            <w:tcW w:w="1305" w:type="dxa"/>
            <w:vAlign w:val="center"/>
            <w:textDirection w:val="lrTb"/>
            <w:noWrap w:val="false"/>
          </w:tcPr>
          <w:p>
            <w:pPr>
              <w:pStyle w:val="796"/>
              <w:pBdr/>
              <w:spacing/>
              <w:ind/>
              <w:jc w:val="center"/>
              <w:rPr>
                <w:rFonts w:hint="eastAsia" w:eastAsia="宋体"/>
                <w:color w:val="000000"/>
                <w:lang w:val="en-US"/>
              </w:rPr>
            </w:pPr>
            <w:r>
              <w:rPr>
                <w:rFonts w:hint="eastAsia"/>
                <w:color w:val="000000"/>
                <w:lang w:val="en-US"/>
              </w:rPr>
              <w:t xml:space="preserve">-</w:t>
            </w:r>
            <w:r>
              <w:rPr>
                <w:rFonts w:hint="eastAsia" w:eastAsia="宋体"/>
                <w:color w:val="000000"/>
                <w:lang w:val="en-US"/>
              </w:rPr>
            </w:r>
            <w:r>
              <w:rPr>
                <w:rFonts w:hint="eastAsia" w:eastAsia="宋体"/>
                <w:color w:val="000000"/>
                <w:lang w:val="en-US"/>
              </w:rPr>
            </w:r>
          </w:p>
        </w:tc>
        <w:tc>
          <w:tcPr>
            <w:tcBorders/>
            <w:tcW w:w="1320"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7左右</w:t>
            </w:r>
            <w:r>
              <w:rPr>
                <w:rFonts w:hint="eastAsia"/>
                <w:color w:val="000000"/>
                <w:lang w:val="en-US"/>
              </w:rPr>
            </w:r>
            <w:r>
              <w:rPr>
                <w:rFonts w:hint="eastAsia"/>
                <w:color w:val="000000"/>
                <w:lang w:val="en-US"/>
              </w:rPr>
            </w:r>
          </w:p>
        </w:tc>
        <w:tc>
          <w:tcPr>
            <w:tcBorders/>
            <w:tcW w:w="1005" w:type="dxa"/>
            <w:vAlign w:val="center"/>
            <w:textDirection w:val="lrTb"/>
            <w:noWrap w:val="false"/>
          </w:tcPr>
          <w:p>
            <w:pPr>
              <w:pStyle w:val="796"/>
              <w:pBdr/>
              <w:spacing/>
              <w:ind/>
              <w:jc w:val="center"/>
              <w:rPr>
                <w:color w:val="000000"/>
              </w:rPr>
            </w:pPr>
            <w:r>
              <w:rPr>
                <w:rFonts w:hint="eastAsia" w:cs="宋体"/>
                <w:color w:val="000000"/>
              </w:rPr>
              <w:t xml:space="preserve">预期性</w:t>
            </w:r>
            <w:r>
              <w:rPr>
                <w:color w:val="000000"/>
              </w:rPr>
            </w:r>
            <w:r>
              <w:rPr>
                <w:color w:val="000000"/>
              </w:rPr>
            </w:r>
          </w:p>
        </w:tc>
      </w:tr>
      <w:tr>
        <w:trPr>
          <w:trHeight w:val="429"/>
        </w:trPr>
        <w:tc>
          <w:tcPr>
            <w:tcBorders/>
            <w:tcW w:w="675" w:type="dxa"/>
            <w:vAlign w:val="center"/>
            <w:vMerge w:val="continue"/>
            <w:textDirection w:val="lrTb"/>
            <w:noWrap w:val="false"/>
          </w:tcPr>
          <w:p>
            <w:pPr>
              <w:pStyle w:val="796"/>
              <w:pBdr/>
              <w:spacing/>
              <w:ind/>
              <w:jc w:val="center"/>
              <w:rPr>
                <w:color w:val="000000"/>
              </w:rPr>
            </w:pPr>
            <w:r>
              <w:rPr>
                <w:color w:val="000000"/>
              </w:rPr>
            </w:r>
            <w:r>
              <w:rPr>
                <w:color w:val="000000"/>
              </w:rPr>
            </w:r>
          </w:p>
        </w:tc>
        <w:tc>
          <w:tcPr>
            <w:tcBorders/>
            <w:tcW w:w="540" w:type="dxa"/>
            <w:vAlign w:val="center"/>
            <w:textDirection w:val="lrTb"/>
            <w:noWrap w:val="false"/>
          </w:tcPr>
          <w:p>
            <w:pPr>
              <w:pStyle w:val="796"/>
              <w:pBdr/>
              <w:spacing/>
              <w:ind/>
              <w:jc w:val="center"/>
              <w:rPr>
                <w:color w:val="000000"/>
              </w:rPr>
            </w:pPr>
            <w:r>
              <w:rPr>
                <w:color w:val="000000"/>
              </w:rPr>
              <w:t xml:space="preserve">2</w:t>
            </w:r>
            <w:r>
              <w:rPr>
                <w:color w:val="000000"/>
              </w:rPr>
            </w:r>
            <w:r>
              <w:rPr>
                <w:color w:val="000000"/>
              </w:rPr>
            </w:r>
          </w:p>
        </w:tc>
        <w:tc>
          <w:tcPr>
            <w:tcBorders/>
            <w:tcW w:w="3930" w:type="dxa"/>
            <w:vAlign w:val="center"/>
            <w:textDirection w:val="lrTb"/>
            <w:noWrap w:val="false"/>
          </w:tcPr>
          <w:p>
            <w:pPr>
              <w:pStyle w:val="796"/>
              <w:pBdr/>
              <w:spacing/>
              <w:ind/>
              <w:rPr>
                <w:color w:val="000000"/>
              </w:rPr>
            </w:pPr>
            <w:r>
              <w:rPr>
                <w:rFonts w:hint="eastAsia" w:cs="宋体"/>
                <w:color w:val="000000"/>
              </w:rPr>
              <w:t xml:space="preserve">全员劳动生产率增长（</w:t>
            </w:r>
            <w:r>
              <w:rPr>
                <w:rFonts w:hint="eastAsia" w:cs="宋体"/>
                <w:color w:val="000000"/>
                <w:lang w:val="en-US"/>
              </w:rPr>
              <w:t xml:space="preserve">%</w:t>
            </w:r>
            <w:r>
              <w:rPr>
                <w:rFonts w:hint="eastAsia" w:cs="宋体"/>
                <w:color w:val="000000"/>
              </w:rPr>
              <w:t xml:space="preserve">）</w:t>
            </w:r>
            <w:r>
              <w:rPr>
                <w:color w:val="000000"/>
              </w:rPr>
            </w:r>
            <w:r>
              <w:rPr>
                <w:color w:val="000000"/>
              </w:rPr>
            </w:r>
          </w:p>
        </w:tc>
        <w:tc>
          <w:tcPr>
            <w:tcBorders/>
            <w:tcW w:w="1260"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305"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320" w:type="dxa"/>
            <w:vAlign w:val="center"/>
            <w:textDirection w:val="lrTb"/>
            <w:noWrap w:val="false"/>
          </w:tcPr>
          <w:p>
            <w:pPr>
              <w:pStyle w:val="796"/>
              <w:pBdr/>
              <w:spacing/>
              <w:ind/>
              <w:jc w:val="center"/>
              <w:rPr>
                <w:color w:val="000000"/>
                <w:lang w:val="en-US"/>
              </w:rPr>
            </w:pPr>
            <w:r>
              <w:rPr>
                <w:rFonts w:hint="eastAsia"/>
                <w:color w:val="000000"/>
              </w:rPr>
              <w:t xml:space="preserve">＞</w:t>
            </w:r>
            <w:r>
              <w:rPr>
                <w:rFonts w:hint="eastAsia"/>
                <w:color w:val="000000"/>
                <w:lang w:val="en-US"/>
              </w:rPr>
              <w:t xml:space="preserve">7</w:t>
            </w:r>
            <w:r>
              <w:rPr>
                <w:color w:val="000000"/>
                <w:lang w:val="en-US"/>
              </w:rPr>
            </w:r>
            <w:r>
              <w:rPr>
                <w:color w:val="000000"/>
                <w:lang w:val="en-US"/>
              </w:rPr>
            </w:r>
          </w:p>
        </w:tc>
        <w:tc>
          <w:tcPr>
            <w:tcBorders/>
            <w:tcW w:w="1005" w:type="dxa"/>
            <w:vAlign w:val="center"/>
            <w:textDirection w:val="lrTb"/>
            <w:noWrap w:val="false"/>
          </w:tcPr>
          <w:p>
            <w:pPr>
              <w:pStyle w:val="796"/>
              <w:pBdr/>
              <w:spacing/>
              <w:ind/>
              <w:jc w:val="center"/>
              <w:rPr>
                <w:color w:val="000000"/>
              </w:rPr>
            </w:pPr>
            <w:r>
              <w:rPr>
                <w:rFonts w:hint="eastAsia" w:cs="宋体"/>
                <w:color w:val="000000"/>
              </w:rPr>
              <w:t xml:space="preserve">预期性</w:t>
            </w:r>
            <w:r>
              <w:rPr>
                <w:color w:val="000000"/>
              </w:rPr>
            </w:r>
            <w:r>
              <w:rPr>
                <w:color w:val="000000"/>
              </w:rPr>
            </w:r>
          </w:p>
        </w:tc>
      </w:tr>
      <w:tr>
        <w:trPr>
          <w:trHeight w:val="428"/>
        </w:trPr>
        <w:tc>
          <w:tcPr>
            <w:tcBorders/>
            <w:tcW w:w="675" w:type="dxa"/>
            <w:vAlign w:val="center"/>
            <w:vMerge w:val="continue"/>
            <w:textDirection w:val="lrTb"/>
            <w:noWrap w:val="false"/>
          </w:tcPr>
          <w:p>
            <w:pPr>
              <w:pStyle w:val="796"/>
              <w:pBdr/>
              <w:spacing/>
              <w:ind/>
              <w:jc w:val="center"/>
              <w:rPr>
                <w:color w:val="000000"/>
              </w:rPr>
            </w:pPr>
            <w:r>
              <w:rPr>
                <w:color w:val="000000"/>
              </w:rPr>
            </w:r>
            <w:r>
              <w:rPr>
                <w:color w:val="000000"/>
              </w:rPr>
            </w:r>
          </w:p>
        </w:tc>
        <w:tc>
          <w:tcPr>
            <w:tcBorders/>
            <w:tcW w:w="540" w:type="dxa"/>
            <w:vAlign w:val="center"/>
            <w:textDirection w:val="lrTb"/>
            <w:noWrap w:val="false"/>
          </w:tcPr>
          <w:p>
            <w:pPr>
              <w:pStyle w:val="796"/>
              <w:pBdr/>
              <w:spacing/>
              <w:ind/>
              <w:jc w:val="center"/>
              <w:rPr>
                <w:color w:val="000000"/>
              </w:rPr>
            </w:pPr>
            <w:r>
              <w:rPr>
                <w:color w:val="000000"/>
              </w:rPr>
              <w:t xml:space="preserve">3</w:t>
            </w:r>
            <w:r>
              <w:rPr>
                <w:color w:val="000000"/>
              </w:rPr>
            </w:r>
            <w:r>
              <w:rPr>
                <w:color w:val="000000"/>
              </w:rPr>
            </w:r>
          </w:p>
        </w:tc>
        <w:tc>
          <w:tcPr>
            <w:tcBorders/>
            <w:tcW w:w="3930" w:type="dxa"/>
            <w:vAlign w:val="center"/>
            <w:textDirection w:val="lrTb"/>
            <w:noWrap w:val="false"/>
          </w:tcPr>
          <w:p>
            <w:pPr>
              <w:pStyle w:val="796"/>
              <w:pBdr/>
              <w:spacing/>
              <w:ind/>
              <w:rPr>
                <w:color w:val="000000"/>
              </w:rPr>
            </w:pPr>
            <w:r>
              <w:rPr>
                <w:rFonts w:hint="eastAsia" w:cs="宋体"/>
                <w:color w:val="000000"/>
              </w:rPr>
              <w:t xml:space="preserve">常住人口城镇化率（</w:t>
            </w:r>
            <w:r>
              <w:rPr>
                <w:color w:val="000000"/>
              </w:rPr>
              <w:t xml:space="preserve">%</w:t>
            </w:r>
            <w:r>
              <w:rPr>
                <w:rFonts w:hint="eastAsia" w:cs="宋体"/>
                <w:color w:val="000000"/>
              </w:rPr>
              <w:t xml:space="preserve">）</w:t>
            </w:r>
            <w:r>
              <w:rPr>
                <w:color w:val="000000"/>
              </w:rPr>
            </w:r>
            <w:r>
              <w:rPr>
                <w:color w:val="000000"/>
              </w:rPr>
            </w:r>
          </w:p>
        </w:tc>
        <w:tc>
          <w:tcPr>
            <w:tcBorders/>
            <w:tcW w:w="1260" w:type="dxa"/>
            <w:vAlign w:val="center"/>
            <w:textDirection w:val="lrTb"/>
            <w:noWrap w:val="false"/>
          </w:tcPr>
          <w:p>
            <w:pPr>
              <w:pStyle w:val="796"/>
              <w:pBdr/>
              <w:spacing/>
              <w:ind/>
              <w:jc w:val="center"/>
              <w:rPr>
                <w:rFonts w:eastAsia="宋体"/>
                <w:color w:val="000000"/>
                <w:lang w:val="en-US" w:eastAsia="zh-CN"/>
              </w:rPr>
            </w:pPr>
            <w:r>
              <w:rPr>
                <w:rFonts w:hint="eastAsia" w:eastAsia="宋体"/>
                <w:color w:val="000000"/>
                <w:lang w:val="en-US" w:eastAsia="zh-CN"/>
              </w:rPr>
              <w:t xml:space="preserve">56.8</w:t>
            </w:r>
            <w:r>
              <w:rPr>
                <w:rFonts w:eastAsia="宋体"/>
                <w:color w:val="000000"/>
                <w:lang w:val="en-US" w:eastAsia="zh-CN"/>
              </w:rPr>
            </w:r>
            <w:r>
              <w:rPr>
                <w:rFonts w:eastAsia="宋体"/>
                <w:color w:val="000000"/>
                <w:lang w:val="en-US" w:eastAsia="zh-CN"/>
              </w:rPr>
            </w:r>
          </w:p>
        </w:tc>
        <w:tc>
          <w:tcPr>
            <w:tcBorders/>
            <w:tcW w:w="1305" w:type="dxa"/>
            <w:vAlign w:val="center"/>
            <w:textDirection w:val="lrTb"/>
            <w:noWrap w:val="false"/>
          </w:tcPr>
          <w:p>
            <w:pPr>
              <w:pStyle w:val="796"/>
              <w:pBdr/>
              <w:spacing/>
              <w:ind/>
              <w:jc w:val="center"/>
              <w:rPr>
                <w:rFonts w:hint="eastAsia" w:eastAsia="仿宋_GB2312"/>
                <w:color w:val="000000"/>
                <w:lang w:val="en-US" w:eastAsia="zh-CN"/>
              </w:rPr>
            </w:pPr>
            <w:r>
              <w:rPr>
                <w:rFonts w:hint="eastAsia"/>
                <w:color w:val="000000"/>
                <w:lang w:val="en-US"/>
              </w:rPr>
              <w:t xml:space="preserve">6</w:t>
            </w:r>
            <w:r>
              <w:rPr>
                <w:rFonts w:hint="eastAsia"/>
                <w:color w:val="000000"/>
                <w:lang w:val="en-US" w:eastAsia="zh-CN"/>
              </w:rPr>
              <w:t xml:space="preserve">2</w:t>
            </w:r>
            <w:r>
              <w:rPr>
                <w:rFonts w:hint="eastAsia" w:eastAsia="仿宋_GB2312"/>
                <w:color w:val="000000"/>
                <w:lang w:val="en-US" w:eastAsia="zh-CN"/>
              </w:rPr>
            </w:r>
            <w:r>
              <w:rPr>
                <w:rFonts w:hint="eastAsia" w:eastAsia="仿宋_GB2312"/>
                <w:color w:val="000000"/>
                <w:lang w:val="en-US" w:eastAsia="zh-CN"/>
              </w:rPr>
            </w:r>
          </w:p>
        </w:tc>
        <w:tc>
          <w:tcPr>
            <w:tcBorders/>
            <w:tcW w:w="1320" w:type="dxa"/>
            <w:vAlign w:val="center"/>
            <w:textDirection w:val="lrTb"/>
            <w:noWrap w:val="false"/>
          </w:tcPr>
          <w:p>
            <w:pPr>
              <w:pStyle w:val="796"/>
              <w:pBdr/>
              <w:spacing/>
              <w:ind/>
              <w:jc w:val="center"/>
              <w:rPr>
                <w:rFonts w:hint="eastAsia" w:eastAsia="宋体"/>
                <w:color w:val="000000"/>
              </w:rPr>
            </w:pPr>
            <w:r>
              <w:rPr>
                <w:rFonts w:hint="eastAsia"/>
                <w:color w:val="000000"/>
                <w:lang w:val="en-US"/>
              </w:rPr>
              <w:t xml:space="preserve">-</w:t>
            </w:r>
            <w:r>
              <w:rPr>
                <w:rFonts w:hint="eastAsia" w:eastAsia="宋体"/>
                <w:color w:val="000000"/>
              </w:rPr>
            </w:r>
            <w:r>
              <w:rPr>
                <w:rFonts w:hint="eastAsia" w:eastAsia="宋体"/>
                <w:color w:val="000000"/>
              </w:rPr>
            </w:r>
          </w:p>
        </w:tc>
        <w:tc>
          <w:tcPr>
            <w:tcBorders/>
            <w:tcW w:w="1005" w:type="dxa"/>
            <w:vAlign w:val="center"/>
            <w:textDirection w:val="lrTb"/>
            <w:noWrap w:val="false"/>
          </w:tcPr>
          <w:p>
            <w:pPr>
              <w:pStyle w:val="796"/>
              <w:pBdr/>
              <w:spacing/>
              <w:ind/>
              <w:jc w:val="center"/>
              <w:rPr>
                <w:color w:val="000000"/>
              </w:rPr>
            </w:pPr>
            <w:r>
              <w:rPr>
                <w:rFonts w:hint="eastAsia" w:cs="宋体"/>
                <w:color w:val="000000"/>
              </w:rPr>
              <w:t xml:space="preserve">预</w:t>
            </w:r>
            <w:r>
              <w:rPr>
                <w:rFonts w:hint="eastAsia" w:cs="宋体"/>
                <w:color w:val="000000"/>
                <w:lang w:eastAsia="zh-CN"/>
              </w:rPr>
              <w:t xml:space="preserve">期</w:t>
            </w:r>
            <w:r>
              <w:rPr>
                <w:rFonts w:hint="eastAsia" w:cs="宋体"/>
                <w:color w:val="000000"/>
              </w:rPr>
              <w:t xml:space="preserve">性</w:t>
            </w:r>
            <w:r>
              <w:rPr>
                <w:color w:val="000000"/>
              </w:rPr>
            </w:r>
            <w:r>
              <w:rPr>
                <w:color w:val="000000"/>
              </w:rPr>
            </w:r>
          </w:p>
        </w:tc>
      </w:tr>
      <w:tr>
        <w:trPr>
          <w:trHeight w:val="415"/>
        </w:trPr>
        <w:tc>
          <w:tcPr>
            <w:tcBorders/>
            <w:tcW w:w="675" w:type="dxa"/>
            <w:vAlign w:val="center"/>
            <w:vMerge w:val="restart"/>
            <w:textDirection w:val="lrTb"/>
            <w:noWrap w:val="false"/>
          </w:tcPr>
          <w:p>
            <w:pPr>
              <w:pStyle w:val="796"/>
              <w:pBdr/>
              <w:spacing/>
              <w:ind/>
              <w:jc w:val="center"/>
              <w:rPr>
                <w:color w:val="000000"/>
              </w:rPr>
            </w:pPr>
            <w:r>
              <w:rPr>
                <w:rFonts w:hint="eastAsia" w:cs="宋体"/>
                <w:color w:val="000000"/>
              </w:rPr>
              <w:t xml:space="preserve">创新能力</w:t>
            </w:r>
            <w:r>
              <w:rPr>
                <w:color w:val="000000"/>
              </w:rPr>
            </w:r>
            <w:r>
              <w:rPr>
                <w:color w:val="000000"/>
              </w:rPr>
            </w:r>
          </w:p>
        </w:tc>
        <w:tc>
          <w:tcPr>
            <w:tcBorders/>
            <w:tcW w:w="540" w:type="dxa"/>
            <w:vAlign w:val="center"/>
            <w:textDirection w:val="lrTb"/>
            <w:noWrap w:val="false"/>
          </w:tcPr>
          <w:p>
            <w:pPr>
              <w:pStyle w:val="796"/>
              <w:pBdr/>
              <w:spacing/>
              <w:ind/>
              <w:jc w:val="center"/>
              <w:rPr>
                <w:color w:val="000000"/>
              </w:rPr>
            </w:pPr>
            <w:r>
              <w:rPr>
                <w:color w:val="000000"/>
              </w:rPr>
              <w:t xml:space="preserve">4</w:t>
            </w:r>
            <w:r>
              <w:rPr>
                <w:color w:val="000000"/>
              </w:rPr>
            </w:r>
            <w:r>
              <w:rPr>
                <w:color w:val="000000"/>
              </w:rPr>
            </w:r>
          </w:p>
        </w:tc>
        <w:tc>
          <w:tcPr>
            <w:tcBorders/>
            <w:tcW w:w="3930" w:type="dxa"/>
            <w:vAlign w:val="center"/>
            <w:textDirection w:val="lrTb"/>
            <w:noWrap w:val="false"/>
          </w:tcPr>
          <w:p>
            <w:pPr>
              <w:pStyle w:val="796"/>
              <w:pBdr/>
              <w:spacing/>
              <w:ind/>
              <w:rPr>
                <w:color w:val="000000"/>
              </w:rPr>
            </w:pPr>
            <w:r>
              <w:rPr>
                <w:rFonts w:hint="eastAsia" w:cs="宋体"/>
                <w:color w:val="000000"/>
                <w:lang w:eastAsia="zh-CN"/>
              </w:rPr>
              <w:t xml:space="preserve">全社会</w:t>
            </w:r>
            <w:r>
              <w:rPr>
                <w:rFonts w:hint="eastAsia" w:cs="宋体"/>
                <w:color w:val="000000"/>
              </w:rPr>
              <w:t xml:space="preserve">研发经费投入增长（</w:t>
            </w:r>
            <w:r>
              <w:rPr>
                <w:color w:val="000000"/>
              </w:rPr>
              <w:t xml:space="preserve">%</w:t>
            </w:r>
            <w:r>
              <w:rPr>
                <w:rFonts w:hint="eastAsia" w:cs="宋体"/>
                <w:color w:val="000000"/>
              </w:rPr>
              <w:t xml:space="preserve">）</w:t>
            </w:r>
            <w:r>
              <w:rPr>
                <w:color w:val="000000"/>
              </w:rPr>
            </w:r>
            <w:r>
              <w:rPr>
                <w:color w:val="000000"/>
              </w:rPr>
            </w:r>
          </w:p>
        </w:tc>
        <w:tc>
          <w:tcPr>
            <w:tcBorders/>
            <w:tcW w:w="1260"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305"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320" w:type="dxa"/>
            <w:vAlign w:val="center"/>
            <w:textDirection w:val="lrTb"/>
            <w:noWrap w:val="false"/>
          </w:tcPr>
          <w:p>
            <w:pPr>
              <w:pStyle w:val="796"/>
              <w:pBdr/>
              <w:spacing/>
              <w:ind/>
              <w:jc w:val="center"/>
              <w:rPr>
                <w:color w:val="000000"/>
              </w:rPr>
            </w:pPr>
            <w:r>
              <w:rPr>
                <w:rFonts w:hint="eastAsia"/>
                <w:color w:val="000000"/>
              </w:rPr>
              <w:t xml:space="preserve">＞</w:t>
            </w:r>
            <w:r>
              <w:rPr>
                <w:rFonts w:hint="eastAsia"/>
                <w:color w:val="000000"/>
                <w:lang w:val="en-US"/>
              </w:rPr>
              <w:t xml:space="preserve">7</w:t>
            </w:r>
            <w:r>
              <w:rPr>
                <w:color w:val="000000"/>
              </w:rPr>
            </w:r>
            <w:r>
              <w:rPr>
                <w:color w:val="000000"/>
              </w:rPr>
            </w:r>
          </w:p>
        </w:tc>
        <w:tc>
          <w:tcPr>
            <w:tcBorders/>
            <w:tcW w:w="1005" w:type="dxa"/>
            <w:vAlign w:val="center"/>
            <w:textDirection w:val="lrTb"/>
            <w:noWrap w:val="false"/>
          </w:tcPr>
          <w:p>
            <w:pPr>
              <w:pStyle w:val="796"/>
              <w:pBdr/>
              <w:spacing/>
              <w:ind/>
              <w:jc w:val="center"/>
              <w:rPr>
                <w:color w:val="000000"/>
              </w:rPr>
            </w:pPr>
            <w:r>
              <w:rPr>
                <w:rFonts w:hint="eastAsia" w:cs="宋体"/>
                <w:color w:val="000000"/>
              </w:rPr>
              <w:t xml:space="preserve">预期性</w:t>
            </w:r>
            <w:r>
              <w:rPr>
                <w:color w:val="000000"/>
              </w:rPr>
            </w:r>
            <w:r>
              <w:rPr>
                <w:color w:val="000000"/>
              </w:rPr>
            </w:r>
          </w:p>
        </w:tc>
      </w:tr>
      <w:tr>
        <w:trPr>
          <w:trHeight w:val="429"/>
        </w:trPr>
        <w:tc>
          <w:tcPr>
            <w:tcBorders/>
            <w:tcW w:w="675" w:type="dxa"/>
            <w:vAlign w:val="center"/>
            <w:vMerge w:val="continue"/>
            <w:textDirection w:val="lrTb"/>
            <w:noWrap w:val="false"/>
          </w:tcPr>
          <w:p>
            <w:pPr>
              <w:pStyle w:val="796"/>
              <w:pBdr/>
              <w:spacing/>
              <w:ind/>
              <w:jc w:val="center"/>
              <w:rPr>
                <w:color w:val="000000"/>
              </w:rPr>
            </w:pPr>
            <w:r>
              <w:rPr>
                <w:color w:val="000000"/>
              </w:rPr>
            </w:r>
            <w:r>
              <w:rPr>
                <w:color w:val="000000"/>
              </w:rPr>
            </w:r>
          </w:p>
        </w:tc>
        <w:tc>
          <w:tcPr>
            <w:tcBorders/>
            <w:tcW w:w="540" w:type="dxa"/>
            <w:vAlign w:val="center"/>
            <w:textDirection w:val="lrTb"/>
            <w:noWrap w:val="false"/>
          </w:tcPr>
          <w:p>
            <w:pPr>
              <w:pStyle w:val="796"/>
              <w:pBdr/>
              <w:spacing/>
              <w:ind/>
              <w:jc w:val="center"/>
              <w:rPr>
                <w:color w:val="000000"/>
              </w:rPr>
            </w:pPr>
            <w:r>
              <w:rPr>
                <w:color w:val="000000"/>
              </w:rPr>
              <w:t xml:space="preserve">5</w:t>
            </w:r>
            <w:r>
              <w:rPr>
                <w:color w:val="000000"/>
              </w:rPr>
            </w:r>
            <w:r>
              <w:rPr>
                <w:color w:val="000000"/>
              </w:rPr>
            </w:r>
          </w:p>
        </w:tc>
        <w:tc>
          <w:tcPr>
            <w:tcBorders/>
            <w:tcW w:w="3930" w:type="dxa"/>
            <w:vAlign w:val="center"/>
            <w:textDirection w:val="lrTb"/>
            <w:noWrap w:val="false"/>
          </w:tcPr>
          <w:p>
            <w:pPr>
              <w:pStyle w:val="796"/>
              <w:pBdr/>
              <w:spacing/>
              <w:ind/>
              <w:rPr>
                <w:color w:val="000000"/>
              </w:rPr>
            </w:pPr>
            <w:r>
              <w:rPr>
                <w:rFonts w:hint="eastAsia" w:cs="宋体"/>
                <w:color w:val="000000"/>
              </w:rPr>
              <w:t xml:space="preserve">每万人口高价值发明专利拥有量（件）</w:t>
            </w:r>
            <w:r>
              <w:rPr>
                <w:color w:val="000000"/>
              </w:rPr>
            </w:r>
            <w:r>
              <w:rPr>
                <w:color w:val="000000"/>
              </w:rPr>
            </w:r>
          </w:p>
        </w:tc>
        <w:tc>
          <w:tcPr>
            <w:tcBorders/>
            <w:tcW w:w="1260" w:type="dxa"/>
            <w:vAlign w:val="center"/>
            <w:textDirection w:val="lrTb"/>
            <w:noWrap w:val="false"/>
          </w:tcPr>
          <w:p>
            <w:pPr>
              <w:pStyle w:val="796"/>
              <w:pBdr/>
              <w:spacing/>
              <w:ind/>
              <w:jc w:val="center"/>
              <w:rPr>
                <w:color w:val="000000"/>
              </w:rPr>
            </w:pPr>
            <w:r>
              <w:rPr>
                <w:color w:val="000000"/>
              </w:rPr>
              <w:t xml:space="preserve">1.</w:t>
            </w:r>
            <w:r>
              <w:rPr>
                <w:rFonts w:hint="eastAsia"/>
                <w:color w:val="000000"/>
                <w:lang w:val="en-US"/>
              </w:rPr>
              <w:t xml:space="preserve">0</w:t>
            </w:r>
            <w:r>
              <w:rPr>
                <w:color w:val="000000"/>
              </w:rPr>
              <w:t xml:space="preserve">2</w:t>
            </w:r>
            <w:r>
              <w:rPr>
                <w:color w:val="000000"/>
              </w:rPr>
            </w:r>
            <w:r>
              <w:rPr>
                <w:color w:val="000000"/>
              </w:rPr>
            </w:r>
          </w:p>
        </w:tc>
        <w:tc>
          <w:tcPr>
            <w:tcBorders/>
            <w:tcW w:w="1305" w:type="dxa"/>
            <w:vAlign w:val="center"/>
            <w:textDirection w:val="lrTb"/>
            <w:noWrap w:val="false"/>
          </w:tcPr>
          <w:p>
            <w:pPr>
              <w:pStyle w:val="796"/>
              <w:pBdr/>
              <w:spacing/>
              <w:ind/>
              <w:jc w:val="center"/>
              <w:rPr>
                <w:color w:val="000000"/>
              </w:rPr>
            </w:pPr>
            <w:r>
              <w:rPr>
                <w:color w:val="000000"/>
              </w:rPr>
              <w:t xml:space="preserve">1.5</w:t>
            </w:r>
            <w:r>
              <w:rPr>
                <w:color w:val="000000"/>
              </w:rPr>
            </w:r>
            <w:r>
              <w:rPr>
                <w:color w:val="000000"/>
              </w:rPr>
            </w:r>
          </w:p>
        </w:tc>
        <w:tc>
          <w:tcPr>
            <w:tcBorders/>
            <w:tcW w:w="1320" w:type="dxa"/>
            <w:vAlign w:val="center"/>
            <w:textDirection w:val="lrTb"/>
            <w:noWrap w:val="false"/>
          </w:tcPr>
          <w:p>
            <w:pPr>
              <w:pStyle w:val="796"/>
              <w:pBdr/>
              <w:spacing/>
              <w:ind/>
              <w:jc w:val="center"/>
              <w:rPr>
                <w:rFonts w:hint="eastAsia" w:eastAsia="仿宋_GB2312"/>
                <w:color w:val="000000"/>
                <w:lang w:eastAsia="zh-CN"/>
              </w:rPr>
            </w:pPr>
            <w:r>
              <w:rPr>
                <w:rFonts w:hint="eastAsia"/>
                <w:color w:val="000000"/>
                <w:lang w:val="en-US"/>
              </w:rPr>
              <w:t xml:space="preserve">-</w:t>
            </w:r>
            <w:r>
              <w:rPr>
                <w:rFonts w:hint="eastAsia" w:eastAsia="仿宋_GB2312"/>
                <w:color w:val="000000"/>
                <w:lang w:eastAsia="zh-CN"/>
              </w:rPr>
            </w:r>
            <w:r>
              <w:rPr>
                <w:rFonts w:hint="eastAsia" w:eastAsia="仿宋_GB2312"/>
                <w:color w:val="000000"/>
                <w:lang w:eastAsia="zh-CN"/>
              </w:rPr>
            </w:r>
          </w:p>
        </w:tc>
        <w:tc>
          <w:tcPr>
            <w:tcBorders/>
            <w:tcW w:w="1005" w:type="dxa"/>
            <w:vAlign w:val="center"/>
            <w:textDirection w:val="lrTb"/>
            <w:noWrap w:val="false"/>
          </w:tcPr>
          <w:p>
            <w:pPr>
              <w:pStyle w:val="796"/>
              <w:pBdr/>
              <w:spacing/>
              <w:ind/>
              <w:jc w:val="center"/>
              <w:rPr>
                <w:color w:val="000000"/>
              </w:rPr>
            </w:pPr>
            <w:r>
              <w:rPr>
                <w:rFonts w:hint="eastAsia" w:cs="宋体"/>
                <w:color w:val="000000"/>
              </w:rPr>
              <w:t xml:space="preserve">预期性</w:t>
            </w:r>
            <w:r>
              <w:rPr>
                <w:color w:val="000000"/>
              </w:rPr>
            </w:r>
            <w:r>
              <w:rPr>
                <w:color w:val="000000"/>
              </w:rPr>
            </w:r>
          </w:p>
        </w:tc>
      </w:tr>
      <w:tr>
        <w:trPr>
          <w:trHeight w:val="428"/>
        </w:trPr>
        <w:tc>
          <w:tcPr>
            <w:tcBorders/>
            <w:tcW w:w="675" w:type="dxa"/>
            <w:vAlign w:val="center"/>
            <w:vMerge w:val="continue"/>
            <w:textDirection w:val="lrTb"/>
            <w:noWrap w:val="false"/>
          </w:tcPr>
          <w:p>
            <w:pPr>
              <w:pStyle w:val="796"/>
              <w:pBdr/>
              <w:spacing/>
              <w:ind/>
              <w:jc w:val="center"/>
              <w:rPr>
                <w:color w:val="000000"/>
              </w:rPr>
            </w:pPr>
            <w:r>
              <w:rPr>
                <w:color w:val="000000"/>
              </w:rPr>
            </w:r>
            <w:r>
              <w:rPr>
                <w:color w:val="000000"/>
              </w:rPr>
            </w:r>
          </w:p>
        </w:tc>
        <w:tc>
          <w:tcPr>
            <w:tcBorders/>
            <w:tcW w:w="540" w:type="dxa"/>
            <w:vAlign w:val="center"/>
            <w:textDirection w:val="lrTb"/>
            <w:noWrap w:val="false"/>
          </w:tcPr>
          <w:p>
            <w:pPr>
              <w:pStyle w:val="796"/>
              <w:pBdr/>
              <w:spacing/>
              <w:ind/>
              <w:jc w:val="center"/>
              <w:rPr>
                <w:color w:val="000000"/>
              </w:rPr>
            </w:pPr>
            <w:r>
              <w:rPr>
                <w:color w:val="000000"/>
              </w:rPr>
              <w:t xml:space="preserve">6</w:t>
            </w:r>
            <w:r>
              <w:rPr>
                <w:color w:val="000000"/>
              </w:rPr>
            </w:r>
            <w:r>
              <w:rPr>
                <w:color w:val="000000"/>
              </w:rPr>
            </w:r>
          </w:p>
        </w:tc>
        <w:tc>
          <w:tcPr>
            <w:tcBorders/>
            <w:tcW w:w="3930" w:type="dxa"/>
            <w:vAlign w:val="center"/>
            <w:textDirection w:val="lrTb"/>
            <w:noWrap w:val="false"/>
          </w:tcPr>
          <w:p>
            <w:pPr>
              <w:pStyle w:val="796"/>
              <w:pBdr/>
              <w:spacing/>
              <w:ind/>
              <w:rPr>
                <w:color w:val="000000"/>
              </w:rPr>
            </w:pPr>
            <w:r>
              <w:rPr>
                <w:rFonts w:hint="eastAsia" w:cs="宋体"/>
                <w:color w:val="000000"/>
              </w:rPr>
              <w:t xml:space="preserve">数字经济核心产业增加值占</w:t>
            </w:r>
            <w:r>
              <w:rPr>
                <w:color w:val="000000"/>
              </w:rPr>
              <w:t xml:space="preserve">GDP</w:t>
            </w:r>
            <w:r>
              <w:rPr>
                <w:rFonts w:hint="eastAsia" w:cs="宋体"/>
                <w:color w:val="000000"/>
              </w:rPr>
              <w:t xml:space="preserve">比重（</w:t>
            </w:r>
            <w:r>
              <w:rPr>
                <w:color w:val="000000"/>
              </w:rPr>
              <w:t xml:space="preserve">%</w:t>
            </w:r>
            <w:r>
              <w:rPr>
                <w:rFonts w:hint="eastAsia" w:cs="宋体"/>
                <w:color w:val="000000"/>
              </w:rPr>
              <w:t xml:space="preserve">）</w:t>
            </w:r>
            <w:r>
              <w:rPr>
                <w:color w:val="000000"/>
              </w:rPr>
            </w:r>
            <w:r>
              <w:rPr>
                <w:color w:val="000000"/>
              </w:rPr>
            </w:r>
          </w:p>
        </w:tc>
        <w:tc>
          <w:tcPr>
            <w:tcBorders/>
            <w:tcW w:w="1260"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305" w:type="dxa"/>
            <w:vAlign w:val="center"/>
            <w:textDirection w:val="lrTb"/>
            <w:noWrap w:val="false"/>
          </w:tcPr>
          <w:p>
            <w:pPr>
              <w:pStyle w:val="796"/>
              <w:pBdr/>
              <w:spacing/>
              <w:ind/>
              <w:jc w:val="center"/>
              <w:rPr>
                <w:color w:val="000000"/>
                <w:lang w:val="en-US"/>
              </w:rPr>
            </w:pPr>
            <w:r>
              <w:rPr>
                <w:rFonts w:hint="eastAsia"/>
                <w:color w:val="000000"/>
                <w:lang w:val="en-US"/>
              </w:rPr>
              <w:t xml:space="preserve">10</w:t>
            </w:r>
            <w:r>
              <w:rPr>
                <w:color w:val="000000"/>
                <w:lang w:val="en-US"/>
              </w:rPr>
            </w:r>
            <w:r>
              <w:rPr>
                <w:color w:val="000000"/>
                <w:lang w:val="en-US"/>
              </w:rPr>
            </w:r>
          </w:p>
        </w:tc>
        <w:tc>
          <w:tcPr>
            <w:tcBorders/>
            <w:tcW w:w="1320"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005" w:type="dxa"/>
            <w:vAlign w:val="center"/>
            <w:textDirection w:val="lrTb"/>
            <w:noWrap w:val="false"/>
          </w:tcPr>
          <w:p>
            <w:pPr>
              <w:pStyle w:val="796"/>
              <w:pBdr/>
              <w:spacing/>
              <w:ind/>
              <w:jc w:val="center"/>
              <w:rPr>
                <w:color w:val="000000"/>
              </w:rPr>
            </w:pPr>
            <w:r>
              <w:rPr>
                <w:rFonts w:hint="eastAsia" w:cs="宋体"/>
                <w:color w:val="000000"/>
              </w:rPr>
              <w:t xml:space="preserve">预期性</w:t>
            </w:r>
            <w:r>
              <w:rPr>
                <w:color w:val="000000"/>
              </w:rPr>
            </w:r>
            <w:r>
              <w:rPr>
                <w:color w:val="000000"/>
              </w:rPr>
            </w:r>
          </w:p>
        </w:tc>
      </w:tr>
      <w:tr>
        <w:trPr>
          <w:trHeight w:val="747"/>
        </w:trPr>
        <w:tc>
          <w:tcPr>
            <w:shd w:val="clear" w:color="auto" w:fill="d7d7d7"/>
            <w:tcBorders/>
            <w:tcW w:w="675" w:type="dxa"/>
            <w:vAlign w:val="center"/>
            <w:textDirection w:val="lrTb"/>
            <w:noWrap w:val="false"/>
          </w:tcPr>
          <w:p>
            <w:pPr>
              <w:pStyle w:val="796"/>
              <w:pBdr/>
              <w:spacing/>
              <w:ind/>
              <w:jc w:val="center"/>
              <w:rPr>
                <w:rFonts w:hint="eastAsia" w:cs="宋体"/>
                <w:color w:val="000000"/>
              </w:rPr>
            </w:pPr>
            <w:r>
              <w:rPr>
                <w:rFonts w:hint="eastAsia" w:cs="宋体"/>
                <w:b/>
                <w:bCs/>
              </w:rPr>
              <w:t xml:space="preserve">类别</w:t>
            </w:r>
            <w:r>
              <w:rPr>
                <w:rFonts w:hint="eastAsia" w:cs="宋体"/>
                <w:color w:val="000000"/>
              </w:rPr>
            </w:r>
            <w:r>
              <w:rPr>
                <w:rFonts w:hint="eastAsia" w:cs="宋体"/>
                <w:color w:val="000000"/>
              </w:rPr>
            </w:r>
          </w:p>
        </w:tc>
        <w:tc>
          <w:tcPr>
            <w:shd w:val="clear" w:color="auto" w:fill="d7d7d7"/>
            <w:tcBorders/>
            <w:tcW w:w="540" w:type="dxa"/>
            <w:vAlign w:val="center"/>
            <w:textDirection w:val="lrTb"/>
            <w:noWrap w:val="false"/>
          </w:tcPr>
          <w:p>
            <w:pPr>
              <w:pStyle w:val="796"/>
              <w:pBdr/>
              <w:spacing/>
              <w:ind/>
              <w:jc w:val="center"/>
              <w:rPr>
                <w:color w:val="000000"/>
              </w:rPr>
            </w:pPr>
            <w:r>
              <w:rPr>
                <w:rFonts w:hint="eastAsia" w:cs="宋体"/>
                <w:b/>
                <w:bCs/>
              </w:rPr>
              <w:t xml:space="preserve">序号</w:t>
            </w:r>
            <w:r>
              <w:rPr>
                <w:color w:val="000000"/>
              </w:rPr>
            </w:r>
            <w:r>
              <w:rPr>
                <w:color w:val="000000"/>
              </w:rPr>
            </w:r>
          </w:p>
        </w:tc>
        <w:tc>
          <w:tcPr>
            <w:shd w:val="clear" w:color="auto" w:fill="d7d7d7"/>
            <w:tcBorders/>
            <w:tcW w:w="3930" w:type="dxa"/>
            <w:vAlign w:val="center"/>
            <w:textDirection w:val="lrTb"/>
            <w:noWrap w:val="false"/>
          </w:tcPr>
          <w:p>
            <w:pPr>
              <w:pStyle w:val="796"/>
              <w:pBdr/>
              <w:spacing/>
              <w:ind/>
              <w:jc w:val="center"/>
              <w:rPr>
                <w:rFonts w:hint="eastAsia" w:cs="宋体"/>
                <w:color w:val="000000"/>
              </w:rPr>
            </w:pPr>
            <w:r>
              <w:rPr>
                <w:rFonts w:hint="eastAsia" w:cs="宋体"/>
                <w:b/>
                <w:bCs/>
              </w:rPr>
              <w:t xml:space="preserve">指标名称</w:t>
            </w:r>
            <w:r>
              <w:rPr>
                <w:rFonts w:hint="eastAsia" w:cs="宋体"/>
                <w:color w:val="000000"/>
              </w:rPr>
            </w:r>
            <w:r>
              <w:rPr>
                <w:rFonts w:hint="eastAsia" w:cs="宋体"/>
                <w:color w:val="000000"/>
              </w:rPr>
            </w:r>
          </w:p>
        </w:tc>
        <w:tc>
          <w:tcPr>
            <w:shd w:val="clear" w:color="auto" w:fill="d7d7d7"/>
            <w:tcBorders/>
            <w:tcW w:w="1260" w:type="dxa"/>
            <w:vAlign w:val="center"/>
            <w:textDirection w:val="lrTb"/>
            <w:noWrap w:val="false"/>
          </w:tcPr>
          <w:p>
            <w:pPr>
              <w:pStyle w:val="796"/>
              <w:pBdr/>
              <w:spacing/>
              <w:ind/>
              <w:jc w:val="center"/>
              <w:rPr>
                <w:rFonts w:hint="eastAsia"/>
                <w:color w:val="000000"/>
                <w:lang w:val="en-US"/>
              </w:rPr>
            </w:pPr>
            <w:r>
              <w:rPr>
                <w:b/>
                <w:bCs/>
              </w:rPr>
              <w:t xml:space="preserve">2020</w:t>
            </w:r>
            <w:r>
              <w:rPr>
                <w:rFonts w:hint="eastAsia" w:cs="宋体"/>
                <w:b/>
                <w:bCs/>
              </w:rPr>
              <w:t xml:space="preserve">年</w:t>
            </w:r>
            <w:r>
              <w:rPr>
                <w:rFonts w:hint="eastAsia"/>
                <w:color w:val="000000"/>
                <w:lang w:val="en-US"/>
              </w:rPr>
            </w:r>
            <w:r>
              <w:rPr>
                <w:rFonts w:hint="eastAsia"/>
                <w:color w:val="000000"/>
                <w:lang w:val="en-US"/>
              </w:rPr>
            </w:r>
          </w:p>
        </w:tc>
        <w:tc>
          <w:tcPr>
            <w:shd w:val="clear" w:color="auto" w:fill="d7d7d7"/>
            <w:tcBorders/>
            <w:tcW w:w="1305" w:type="dxa"/>
            <w:vAlign w:val="center"/>
            <w:textDirection w:val="lrTb"/>
            <w:noWrap w:val="false"/>
          </w:tcPr>
          <w:p>
            <w:pPr>
              <w:pStyle w:val="796"/>
              <w:pBdr/>
              <w:spacing/>
              <w:ind/>
              <w:jc w:val="center"/>
              <w:rPr>
                <w:rFonts w:hint="eastAsia"/>
                <w:color w:val="000000"/>
                <w:lang w:val="en-US"/>
              </w:rPr>
            </w:pPr>
            <w:r>
              <w:rPr>
                <w:b/>
                <w:bCs/>
              </w:rPr>
              <w:t xml:space="preserve">2025</w:t>
            </w:r>
            <w:r>
              <w:rPr>
                <w:rFonts w:hint="eastAsia" w:cs="宋体"/>
                <w:b/>
                <w:bCs/>
              </w:rPr>
              <w:t xml:space="preserve">年</w:t>
            </w:r>
            <w:r>
              <w:rPr>
                <w:rFonts w:hint="eastAsia"/>
                <w:color w:val="000000"/>
                <w:lang w:val="en-US"/>
              </w:rPr>
            </w:r>
            <w:r>
              <w:rPr>
                <w:rFonts w:hint="eastAsia"/>
                <w:color w:val="000000"/>
                <w:lang w:val="en-US"/>
              </w:rPr>
            </w:r>
          </w:p>
        </w:tc>
        <w:tc>
          <w:tcPr>
            <w:shd w:val="clear" w:color="auto" w:fill="d7d7d7"/>
            <w:tcBorders/>
            <w:tcW w:w="1320" w:type="dxa"/>
            <w:vAlign w:val="center"/>
            <w:textDirection w:val="lrTb"/>
            <w:noWrap w:val="false"/>
          </w:tcPr>
          <w:p>
            <w:pPr>
              <w:pStyle w:val="796"/>
              <w:pBdr/>
              <w:spacing/>
              <w:ind/>
              <w:jc w:val="center"/>
              <w:rPr>
                <w:rFonts w:hint="eastAsia" w:cs="宋体"/>
                <w:b/>
                <w:bCs/>
              </w:rPr>
            </w:pPr>
            <w:r>
              <w:rPr>
                <w:rFonts w:hint="eastAsia" w:cs="宋体"/>
                <w:b/>
                <w:bCs/>
              </w:rPr>
              <w:t xml:space="preserve">年均增速</w:t>
            </w:r>
            <w:r>
              <w:rPr>
                <w:rFonts w:hint="eastAsia" w:cs="宋体"/>
                <w:b/>
                <w:bCs/>
              </w:rPr>
            </w:r>
            <w:r>
              <w:rPr>
                <w:rFonts w:hint="eastAsia" w:cs="宋体"/>
                <w:b/>
                <w:bCs/>
              </w:rPr>
            </w:r>
          </w:p>
          <w:p>
            <w:pPr>
              <w:pStyle w:val="796"/>
              <w:pBdr/>
              <w:spacing/>
              <w:ind/>
              <w:jc w:val="center"/>
              <w:rPr>
                <w:rFonts w:hint="eastAsia"/>
                <w:color w:val="000000"/>
                <w:lang w:val="en-US"/>
              </w:rPr>
            </w:pPr>
            <w:r>
              <w:rPr>
                <w:rFonts w:hint="eastAsia"/>
              </w:rPr>
              <w:t xml:space="preserve">【</w:t>
            </w:r>
            <w:r>
              <w:rPr>
                <w:rFonts w:hint="eastAsia" w:cs="宋体"/>
                <w:b/>
                <w:bCs/>
              </w:rPr>
              <w:t xml:space="preserve">累计</w:t>
            </w:r>
            <w:r>
              <w:rPr>
                <w:rFonts w:hint="eastAsia"/>
              </w:rPr>
              <w:t xml:space="preserve">】</w:t>
            </w:r>
            <w:r>
              <w:rPr>
                <w:rFonts w:hint="eastAsia"/>
                <w:color w:val="000000"/>
                <w:lang w:val="en-US"/>
              </w:rPr>
            </w:r>
            <w:r>
              <w:rPr>
                <w:rFonts w:hint="eastAsia"/>
                <w:color w:val="000000"/>
                <w:lang w:val="en-US"/>
              </w:rPr>
            </w:r>
          </w:p>
        </w:tc>
        <w:tc>
          <w:tcPr>
            <w:shd w:val="clear" w:color="auto" w:fill="d7d7d7"/>
            <w:tcBorders/>
            <w:tcW w:w="1005" w:type="dxa"/>
            <w:vAlign w:val="center"/>
            <w:textDirection w:val="lrTb"/>
            <w:noWrap w:val="false"/>
          </w:tcPr>
          <w:p>
            <w:pPr>
              <w:pStyle w:val="796"/>
              <w:pBdr/>
              <w:spacing/>
              <w:ind/>
              <w:jc w:val="center"/>
              <w:rPr>
                <w:rFonts w:hint="eastAsia" w:cs="宋体"/>
                <w:color w:val="000000"/>
              </w:rPr>
            </w:pPr>
            <w:r>
              <w:rPr>
                <w:rFonts w:hint="eastAsia" w:cs="宋体"/>
                <w:b/>
                <w:bCs/>
              </w:rPr>
              <w:t xml:space="preserve">属性</w:t>
            </w:r>
            <w:r>
              <w:rPr>
                <w:rFonts w:hint="eastAsia" w:cs="宋体"/>
                <w:color w:val="000000"/>
              </w:rPr>
            </w:r>
            <w:r>
              <w:rPr>
                <w:rFonts w:hint="eastAsia" w:cs="宋体"/>
                <w:color w:val="000000"/>
              </w:rPr>
            </w:r>
          </w:p>
        </w:tc>
      </w:tr>
      <w:tr>
        <w:trPr>
          <w:trHeight w:val="425"/>
        </w:trPr>
        <w:tc>
          <w:tcPr>
            <w:tcBorders/>
            <w:tcW w:w="675" w:type="dxa"/>
            <w:vAlign w:val="center"/>
            <w:vMerge w:val="restart"/>
            <w:textDirection w:val="lrTb"/>
            <w:noWrap w:val="false"/>
          </w:tcPr>
          <w:p>
            <w:pPr>
              <w:pStyle w:val="796"/>
              <w:pBdr/>
              <w:spacing/>
              <w:ind/>
              <w:jc w:val="center"/>
              <w:rPr>
                <w:color w:val="000000"/>
              </w:rPr>
            </w:pPr>
            <w:r>
              <w:rPr>
                <w:rFonts w:hint="eastAsia" w:cs="宋体"/>
                <w:color w:val="000000"/>
              </w:rPr>
              <w:t xml:space="preserve">民生福祉</w:t>
            </w:r>
            <w:r>
              <w:rPr>
                <w:color w:val="000000"/>
              </w:rPr>
            </w:r>
            <w:r>
              <w:rPr>
                <w:color w:val="000000"/>
              </w:rPr>
            </w:r>
          </w:p>
        </w:tc>
        <w:tc>
          <w:tcPr>
            <w:tcBorders/>
            <w:tcW w:w="540" w:type="dxa"/>
            <w:vAlign w:val="center"/>
            <w:textDirection w:val="lrTb"/>
            <w:noWrap w:val="false"/>
          </w:tcPr>
          <w:p>
            <w:pPr>
              <w:pStyle w:val="796"/>
              <w:pBdr/>
              <w:spacing/>
              <w:ind/>
              <w:jc w:val="center"/>
              <w:rPr>
                <w:color w:val="000000"/>
              </w:rPr>
            </w:pPr>
            <w:r>
              <w:rPr>
                <w:color w:val="000000"/>
              </w:rPr>
              <w:t xml:space="preserve">7</w:t>
            </w:r>
            <w:r>
              <w:rPr>
                <w:color w:val="000000"/>
              </w:rPr>
            </w:r>
            <w:r>
              <w:rPr>
                <w:color w:val="000000"/>
              </w:rPr>
            </w:r>
          </w:p>
        </w:tc>
        <w:tc>
          <w:tcPr>
            <w:tcBorders/>
            <w:tcW w:w="3930" w:type="dxa"/>
            <w:vAlign w:val="center"/>
            <w:textDirection w:val="lrTb"/>
            <w:noWrap w:val="false"/>
          </w:tcPr>
          <w:p>
            <w:pPr>
              <w:pStyle w:val="796"/>
              <w:pBdr/>
              <w:spacing/>
              <w:ind/>
              <w:rPr>
                <w:color w:val="000000"/>
              </w:rPr>
            </w:pPr>
            <w:r>
              <w:rPr>
                <w:rFonts w:hint="eastAsia" w:cs="宋体"/>
                <w:color w:val="000000"/>
              </w:rPr>
              <w:t xml:space="preserve">居民人均可支配收入增长（</w:t>
            </w:r>
            <w:r>
              <w:rPr>
                <w:color w:val="000000"/>
              </w:rPr>
              <w:t xml:space="preserve">%</w:t>
            </w:r>
            <w:r>
              <w:rPr>
                <w:rFonts w:hint="eastAsia" w:cs="宋体"/>
                <w:color w:val="000000"/>
              </w:rPr>
              <w:t xml:space="preserve">）</w:t>
            </w:r>
            <w:r>
              <w:rPr>
                <w:color w:val="000000"/>
              </w:rPr>
            </w:r>
            <w:r>
              <w:rPr>
                <w:color w:val="000000"/>
              </w:rPr>
            </w:r>
          </w:p>
        </w:tc>
        <w:tc>
          <w:tcPr>
            <w:tcBorders/>
            <w:tcW w:w="1260"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305"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320" w:type="dxa"/>
            <w:vAlign w:val="center"/>
            <w:textDirection w:val="lrTb"/>
            <w:noWrap w:val="false"/>
          </w:tcPr>
          <w:p>
            <w:pPr>
              <w:pStyle w:val="796"/>
              <w:pBdr/>
              <w:spacing/>
              <w:ind/>
              <w:jc w:val="center"/>
              <w:rPr>
                <w:rFonts w:hint="eastAsia" w:eastAsia="宋体"/>
                <w:color w:val="000000"/>
                <w:lang w:val="en-US"/>
              </w:rPr>
            </w:pPr>
            <w:r>
              <w:rPr>
                <w:rFonts w:hint="eastAsia"/>
                <w:color w:val="000000"/>
                <w:lang w:val="en-US"/>
              </w:rPr>
              <w:t xml:space="preserve">7左右</w:t>
            </w:r>
            <w:r>
              <w:rPr>
                <w:rFonts w:hint="eastAsia" w:eastAsia="宋体"/>
                <w:color w:val="000000"/>
                <w:lang w:val="en-US"/>
              </w:rPr>
            </w:r>
            <w:r>
              <w:rPr>
                <w:rFonts w:hint="eastAsia" w:eastAsia="宋体"/>
                <w:color w:val="000000"/>
                <w:lang w:val="en-US"/>
              </w:rPr>
            </w:r>
          </w:p>
        </w:tc>
        <w:tc>
          <w:tcPr>
            <w:tcBorders/>
            <w:tcW w:w="1005" w:type="dxa"/>
            <w:vAlign w:val="center"/>
            <w:textDirection w:val="lrTb"/>
            <w:noWrap w:val="false"/>
          </w:tcPr>
          <w:p>
            <w:pPr>
              <w:pStyle w:val="796"/>
              <w:pBdr/>
              <w:spacing/>
              <w:ind/>
              <w:jc w:val="center"/>
              <w:rPr>
                <w:color w:val="000000"/>
              </w:rPr>
            </w:pPr>
            <w:r>
              <w:rPr>
                <w:rFonts w:hint="eastAsia" w:cs="宋体"/>
                <w:color w:val="000000"/>
              </w:rPr>
              <w:t xml:space="preserve">预期性</w:t>
            </w:r>
            <w:r>
              <w:rPr>
                <w:color w:val="000000"/>
              </w:rPr>
            </w:r>
            <w:r>
              <w:rPr>
                <w:color w:val="000000"/>
              </w:rPr>
            </w:r>
          </w:p>
        </w:tc>
      </w:tr>
      <w:tr>
        <w:trPr>
          <w:trHeight w:val="425"/>
        </w:trPr>
        <w:tc>
          <w:tcPr>
            <w:tcBorders/>
            <w:tcW w:w="675" w:type="dxa"/>
            <w:vAlign w:val="center"/>
            <w:vMerge w:val="continue"/>
            <w:textDirection w:val="lrTb"/>
            <w:noWrap w:val="false"/>
          </w:tcPr>
          <w:p>
            <w:pPr>
              <w:pStyle w:val="796"/>
              <w:pBdr/>
              <w:spacing/>
              <w:ind/>
              <w:jc w:val="center"/>
              <w:rPr>
                <w:color w:val="000000"/>
              </w:rPr>
            </w:pPr>
            <w:r>
              <w:rPr>
                <w:color w:val="000000"/>
              </w:rPr>
            </w:r>
            <w:r>
              <w:rPr>
                <w:color w:val="000000"/>
              </w:rPr>
            </w:r>
          </w:p>
        </w:tc>
        <w:tc>
          <w:tcPr>
            <w:tcBorders/>
            <w:tcW w:w="540" w:type="dxa"/>
            <w:vAlign w:val="center"/>
            <w:textDirection w:val="lrTb"/>
            <w:noWrap w:val="false"/>
          </w:tcPr>
          <w:p>
            <w:pPr>
              <w:pStyle w:val="796"/>
              <w:pBdr/>
              <w:spacing/>
              <w:ind/>
              <w:jc w:val="center"/>
              <w:rPr>
                <w:color w:val="000000"/>
              </w:rPr>
            </w:pPr>
            <w:r>
              <w:rPr>
                <w:color w:val="000000"/>
              </w:rPr>
              <w:t xml:space="preserve">8</w:t>
            </w:r>
            <w:r>
              <w:rPr>
                <w:color w:val="000000"/>
              </w:rPr>
            </w:r>
            <w:r>
              <w:rPr>
                <w:color w:val="000000"/>
              </w:rPr>
            </w:r>
          </w:p>
        </w:tc>
        <w:tc>
          <w:tcPr>
            <w:tcBorders/>
            <w:tcW w:w="3930" w:type="dxa"/>
            <w:vAlign w:val="center"/>
            <w:textDirection w:val="lrTb"/>
            <w:noWrap w:val="false"/>
          </w:tcPr>
          <w:p>
            <w:pPr>
              <w:pStyle w:val="796"/>
              <w:pBdr/>
              <w:spacing/>
              <w:ind/>
              <w:rPr>
                <w:color w:val="000000"/>
              </w:rPr>
            </w:pPr>
            <w:r>
              <w:rPr>
                <w:rFonts w:hint="eastAsia" w:cs="宋体"/>
                <w:color w:val="000000"/>
              </w:rPr>
              <w:t xml:space="preserve">城镇调查失业率（</w:t>
            </w:r>
            <w:r>
              <w:rPr>
                <w:color w:val="000000"/>
              </w:rPr>
              <w:t xml:space="preserve">%</w:t>
            </w:r>
            <w:r>
              <w:rPr>
                <w:rFonts w:hint="eastAsia" w:cs="宋体"/>
                <w:color w:val="000000"/>
              </w:rPr>
              <w:t xml:space="preserve">）</w:t>
            </w:r>
            <w:r>
              <w:rPr>
                <w:color w:val="000000"/>
              </w:rPr>
            </w:r>
            <w:r>
              <w:rPr>
                <w:color w:val="000000"/>
              </w:rPr>
            </w:r>
          </w:p>
        </w:tc>
        <w:tc>
          <w:tcPr>
            <w:tcBorders/>
            <w:tcW w:w="1260"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305"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320" w:type="dxa"/>
            <w:vAlign w:val="center"/>
            <w:textDirection w:val="lrTb"/>
            <w:noWrap w:val="false"/>
          </w:tcPr>
          <w:p>
            <w:pPr>
              <w:pStyle w:val="796"/>
              <w:pBdr/>
              <w:spacing/>
              <w:ind/>
              <w:jc w:val="center"/>
              <w:rPr>
                <w:color w:val="000000"/>
                <w:lang w:val="en-US"/>
              </w:rPr>
            </w:pPr>
            <w:r>
              <w:rPr>
                <w:rFonts w:hint="eastAsia"/>
                <w:color w:val="000000"/>
                <w:lang w:val="en-US"/>
              </w:rPr>
              <w:t xml:space="preserve">5.5左右</w:t>
            </w:r>
            <w:r>
              <w:rPr>
                <w:color w:val="000000"/>
                <w:lang w:val="en-US"/>
              </w:rPr>
            </w:r>
            <w:r>
              <w:rPr>
                <w:color w:val="000000"/>
                <w:lang w:val="en-US"/>
              </w:rPr>
            </w:r>
          </w:p>
        </w:tc>
        <w:tc>
          <w:tcPr>
            <w:tcBorders/>
            <w:tcW w:w="1005" w:type="dxa"/>
            <w:vAlign w:val="center"/>
            <w:textDirection w:val="lrTb"/>
            <w:noWrap w:val="false"/>
          </w:tcPr>
          <w:p>
            <w:pPr>
              <w:pStyle w:val="796"/>
              <w:pBdr/>
              <w:spacing/>
              <w:ind/>
              <w:jc w:val="center"/>
              <w:rPr>
                <w:color w:val="000000"/>
              </w:rPr>
            </w:pPr>
            <w:r>
              <w:rPr>
                <w:rFonts w:hint="eastAsia" w:cs="宋体"/>
                <w:color w:val="000000"/>
              </w:rPr>
              <w:t xml:space="preserve">预期性</w:t>
            </w:r>
            <w:r>
              <w:rPr>
                <w:color w:val="000000"/>
              </w:rPr>
            </w:r>
            <w:r>
              <w:rPr>
                <w:color w:val="000000"/>
              </w:rPr>
            </w:r>
          </w:p>
        </w:tc>
      </w:tr>
      <w:tr>
        <w:trPr>
          <w:trHeight w:val="422"/>
        </w:trPr>
        <w:tc>
          <w:tcPr>
            <w:tcBorders/>
            <w:tcW w:w="675" w:type="dxa"/>
            <w:vAlign w:val="center"/>
            <w:vMerge w:val="continue"/>
            <w:textDirection w:val="lrTb"/>
            <w:noWrap w:val="false"/>
          </w:tcPr>
          <w:p>
            <w:pPr>
              <w:pStyle w:val="796"/>
              <w:pBdr/>
              <w:spacing/>
              <w:ind/>
              <w:jc w:val="center"/>
              <w:rPr>
                <w:color w:val="000000"/>
              </w:rPr>
            </w:pPr>
            <w:r>
              <w:rPr>
                <w:color w:val="000000"/>
              </w:rPr>
            </w:r>
            <w:r>
              <w:rPr>
                <w:color w:val="000000"/>
              </w:rPr>
            </w:r>
          </w:p>
        </w:tc>
        <w:tc>
          <w:tcPr>
            <w:tcBorders/>
            <w:tcW w:w="540" w:type="dxa"/>
            <w:vAlign w:val="center"/>
            <w:textDirection w:val="lrTb"/>
            <w:noWrap w:val="false"/>
          </w:tcPr>
          <w:p>
            <w:pPr>
              <w:pStyle w:val="796"/>
              <w:pBdr/>
              <w:spacing/>
              <w:ind/>
              <w:jc w:val="center"/>
              <w:rPr>
                <w:color w:val="000000"/>
              </w:rPr>
            </w:pPr>
            <w:r>
              <w:rPr>
                <w:color w:val="000000"/>
              </w:rPr>
              <w:t xml:space="preserve">9</w:t>
            </w:r>
            <w:r>
              <w:rPr>
                <w:color w:val="000000"/>
              </w:rPr>
            </w:r>
            <w:r>
              <w:rPr>
                <w:color w:val="000000"/>
              </w:rPr>
            </w:r>
          </w:p>
        </w:tc>
        <w:tc>
          <w:tcPr>
            <w:tcBorders/>
            <w:tcW w:w="3930" w:type="dxa"/>
            <w:vAlign w:val="center"/>
            <w:textDirection w:val="lrTb"/>
            <w:noWrap w:val="false"/>
          </w:tcPr>
          <w:p>
            <w:pPr>
              <w:pStyle w:val="796"/>
              <w:pBdr/>
              <w:spacing/>
              <w:ind/>
              <w:rPr>
                <w:color w:val="000000"/>
              </w:rPr>
            </w:pPr>
            <w:r>
              <w:rPr>
                <w:rFonts w:hint="eastAsia" w:cs="宋体"/>
                <w:color w:val="000000"/>
              </w:rPr>
              <w:t xml:space="preserve">劳动年龄人口平均受教育年限（年）</w:t>
            </w:r>
            <w:r>
              <w:rPr>
                <w:color w:val="000000"/>
              </w:rPr>
            </w:r>
            <w:r>
              <w:rPr>
                <w:color w:val="000000"/>
              </w:rPr>
            </w:r>
          </w:p>
        </w:tc>
        <w:tc>
          <w:tcPr>
            <w:tcBorders/>
            <w:tcW w:w="1260" w:type="dxa"/>
            <w:vAlign w:val="center"/>
            <w:textDirection w:val="lrTb"/>
            <w:noWrap w:val="false"/>
          </w:tcPr>
          <w:p>
            <w:pPr>
              <w:pStyle w:val="796"/>
              <w:pBdr/>
              <w:spacing/>
              <w:ind/>
              <w:jc w:val="center"/>
              <w:rPr>
                <w:color w:val="000000"/>
                <w:lang w:val="en-US"/>
              </w:rPr>
            </w:pPr>
            <w:r>
              <w:rPr>
                <w:rFonts w:hint="eastAsia"/>
                <w:color w:val="000000"/>
                <w:lang w:val="en-US"/>
              </w:rPr>
              <w:t xml:space="preserve">11</w:t>
            </w:r>
            <w:r>
              <w:rPr>
                <w:color w:val="000000"/>
                <w:lang w:val="en-US"/>
              </w:rPr>
            </w:r>
            <w:r>
              <w:rPr>
                <w:color w:val="000000"/>
                <w:lang w:val="en-US"/>
              </w:rPr>
            </w:r>
          </w:p>
        </w:tc>
        <w:tc>
          <w:tcPr>
            <w:tcBorders/>
            <w:tcW w:w="1305" w:type="dxa"/>
            <w:vAlign w:val="center"/>
            <w:textDirection w:val="lrTb"/>
            <w:noWrap w:val="false"/>
          </w:tcPr>
          <w:p>
            <w:pPr>
              <w:pStyle w:val="796"/>
              <w:pBdr/>
              <w:spacing/>
              <w:ind/>
              <w:jc w:val="center"/>
              <w:rPr>
                <w:color w:val="000000"/>
                <w:lang w:val="en-US"/>
              </w:rPr>
            </w:pPr>
            <w:r>
              <w:rPr>
                <w:rFonts w:hint="eastAsia"/>
                <w:color w:val="000000"/>
                <w:lang w:val="en-US"/>
              </w:rPr>
              <w:t xml:space="preserve">11</w:t>
            </w:r>
            <w:r>
              <w:rPr>
                <w:color w:val="000000"/>
              </w:rPr>
              <w:t xml:space="preserve">.</w:t>
            </w:r>
            <w:r>
              <w:rPr>
                <w:rFonts w:hint="eastAsia"/>
                <w:color w:val="000000"/>
                <w:lang w:val="en-US"/>
              </w:rPr>
              <w:t xml:space="preserve">4</w:t>
            </w:r>
            <w:r>
              <w:rPr>
                <w:color w:val="000000"/>
                <w:lang w:val="en-US"/>
              </w:rPr>
            </w:r>
            <w:r>
              <w:rPr>
                <w:color w:val="000000"/>
                <w:lang w:val="en-US"/>
              </w:rPr>
            </w:r>
          </w:p>
        </w:tc>
        <w:tc>
          <w:tcPr>
            <w:tcBorders/>
            <w:tcW w:w="1320" w:type="dxa"/>
            <w:vAlign w:val="center"/>
            <w:textDirection w:val="lrTb"/>
            <w:noWrap w:val="false"/>
          </w:tcPr>
          <w:p>
            <w:pPr>
              <w:pStyle w:val="796"/>
              <w:pBdr/>
              <w:spacing/>
              <w:ind/>
              <w:jc w:val="center"/>
              <w:rPr>
                <w:rFonts w:hint="eastAsia"/>
                <w:color w:val="000000"/>
              </w:rPr>
            </w:pPr>
            <w:r>
              <w:rPr>
                <w:rFonts w:hint="eastAsia"/>
                <w:color w:val="000000"/>
                <w:lang w:val="en-US"/>
              </w:rPr>
              <w:t xml:space="preserve">-</w:t>
            </w:r>
            <w:r>
              <w:rPr>
                <w:rFonts w:hint="eastAsia"/>
                <w:color w:val="000000"/>
              </w:rPr>
            </w:r>
            <w:r>
              <w:rPr>
                <w:rFonts w:hint="eastAsia"/>
                <w:color w:val="000000"/>
              </w:rPr>
            </w:r>
          </w:p>
        </w:tc>
        <w:tc>
          <w:tcPr>
            <w:tcBorders/>
            <w:tcW w:w="1005" w:type="dxa"/>
            <w:vAlign w:val="center"/>
            <w:textDirection w:val="lrTb"/>
            <w:noWrap w:val="false"/>
          </w:tcPr>
          <w:p>
            <w:pPr>
              <w:pStyle w:val="796"/>
              <w:pBdr/>
              <w:spacing/>
              <w:ind/>
              <w:jc w:val="center"/>
              <w:rPr>
                <w:color w:val="000000"/>
              </w:rPr>
            </w:pPr>
            <w:r>
              <w:rPr>
                <w:rFonts w:hint="eastAsia" w:cs="宋体"/>
                <w:color w:val="000000"/>
              </w:rPr>
              <w:t xml:space="preserve">预期性</w:t>
            </w:r>
            <w:r>
              <w:rPr>
                <w:color w:val="000000"/>
              </w:rPr>
            </w:r>
            <w:r>
              <w:rPr>
                <w:color w:val="000000"/>
              </w:rPr>
            </w:r>
          </w:p>
        </w:tc>
      </w:tr>
      <w:tr>
        <w:trPr>
          <w:trHeight w:val="422"/>
        </w:trPr>
        <w:tc>
          <w:tcPr>
            <w:tcBorders/>
            <w:tcW w:w="675" w:type="dxa"/>
            <w:vAlign w:val="center"/>
            <w:vMerge w:val="continue"/>
            <w:textDirection w:val="lrTb"/>
            <w:noWrap w:val="false"/>
          </w:tcPr>
          <w:p>
            <w:pPr>
              <w:pStyle w:val="796"/>
              <w:pBdr/>
              <w:spacing/>
              <w:ind/>
              <w:jc w:val="center"/>
              <w:rPr>
                <w:color w:val="000000"/>
              </w:rPr>
            </w:pPr>
            <w:r>
              <w:rPr>
                <w:color w:val="000000"/>
              </w:rPr>
            </w:r>
            <w:r>
              <w:rPr>
                <w:color w:val="000000"/>
              </w:rPr>
            </w:r>
          </w:p>
        </w:tc>
        <w:tc>
          <w:tcPr>
            <w:tcBorders/>
            <w:tcW w:w="540" w:type="dxa"/>
            <w:vAlign w:val="center"/>
            <w:textDirection w:val="lrTb"/>
            <w:noWrap w:val="false"/>
          </w:tcPr>
          <w:p>
            <w:pPr>
              <w:pStyle w:val="796"/>
              <w:pBdr/>
              <w:spacing/>
              <w:ind/>
              <w:jc w:val="center"/>
              <w:rPr>
                <w:color w:val="000000"/>
              </w:rPr>
            </w:pPr>
            <w:r>
              <w:rPr>
                <w:color w:val="000000"/>
              </w:rPr>
              <w:t xml:space="preserve">10</w:t>
            </w:r>
            <w:r>
              <w:rPr>
                <w:color w:val="000000"/>
              </w:rPr>
            </w:r>
            <w:r>
              <w:rPr>
                <w:color w:val="000000"/>
              </w:rPr>
            </w:r>
          </w:p>
        </w:tc>
        <w:tc>
          <w:tcPr>
            <w:tcBorders/>
            <w:tcW w:w="3930" w:type="dxa"/>
            <w:vAlign w:val="center"/>
            <w:textDirection w:val="lrTb"/>
            <w:noWrap w:val="false"/>
          </w:tcPr>
          <w:p>
            <w:pPr>
              <w:pStyle w:val="796"/>
              <w:pBdr/>
              <w:spacing/>
              <w:ind/>
              <w:rPr>
                <w:color w:val="000000"/>
              </w:rPr>
            </w:pPr>
            <w:r>
              <w:rPr>
                <w:rFonts w:hint="eastAsia" w:cs="宋体"/>
                <w:color w:val="000000"/>
              </w:rPr>
              <w:t xml:space="preserve">每千人拥有执业（助理）医生数（人）</w:t>
            </w:r>
            <w:r>
              <w:rPr>
                <w:color w:val="000000"/>
              </w:rPr>
            </w:r>
            <w:r>
              <w:rPr>
                <w:color w:val="000000"/>
              </w:rPr>
            </w:r>
          </w:p>
        </w:tc>
        <w:tc>
          <w:tcPr>
            <w:tcBorders/>
            <w:tcW w:w="1260" w:type="dxa"/>
            <w:vAlign w:val="center"/>
            <w:textDirection w:val="lrTb"/>
            <w:noWrap w:val="false"/>
          </w:tcPr>
          <w:p>
            <w:pPr>
              <w:pStyle w:val="796"/>
              <w:pBdr/>
              <w:spacing/>
              <w:ind/>
              <w:jc w:val="center"/>
              <w:rPr>
                <w:color w:val="000000"/>
              </w:rPr>
            </w:pPr>
            <w:r>
              <w:rPr>
                <w:rFonts w:hint="eastAsia"/>
                <w:color w:val="000000"/>
                <w:lang w:val="en-US"/>
              </w:rPr>
              <w:t xml:space="preserve">2</w:t>
            </w:r>
            <w:r>
              <w:rPr>
                <w:color w:val="000000"/>
              </w:rPr>
              <w:t xml:space="preserve">.</w:t>
            </w:r>
            <w:r>
              <w:rPr>
                <w:rFonts w:hint="eastAsia"/>
                <w:color w:val="000000"/>
                <w:lang w:val="en-US"/>
              </w:rPr>
              <w:t xml:space="preserve">5</w:t>
            </w:r>
            <w:r>
              <w:rPr>
                <w:color w:val="000000"/>
              </w:rPr>
            </w:r>
            <w:r>
              <w:rPr>
                <w:color w:val="000000"/>
              </w:rPr>
            </w:r>
          </w:p>
        </w:tc>
        <w:tc>
          <w:tcPr>
            <w:tcBorders/>
            <w:tcW w:w="1305" w:type="dxa"/>
            <w:vAlign w:val="center"/>
            <w:textDirection w:val="lrTb"/>
            <w:noWrap w:val="false"/>
          </w:tcPr>
          <w:p>
            <w:pPr>
              <w:pStyle w:val="796"/>
              <w:pBdr/>
              <w:spacing/>
              <w:ind/>
              <w:jc w:val="center"/>
              <w:rPr>
                <w:color w:val="000000"/>
              </w:rPr>
            </w:pPr>
            <w:r>
              <w:rPr>
                <w:rFonts w:hint="eastAsia"/>
                <w:color w:val="000000"/>
                <w:lang w:val="en-US"/>
              </w:rPr>
              <w:t xml:space="preserve">2</w:t>
            </w:r>
            <w:r>
              <w:rPr>
                <w:color w:val="000000"/>
              </w:rPr>
              <w:t xml:space="preserve">.</w:t>
            </w:r>
            <w:r>
              <w:rPr>
                <w:rFonts w:hint="eastAsia"/>
                <w:color w:val="000000"/>
                <w:lang w:val="en-US"/>
              </w:rPr>
              <w:t xml:space="preserve">7</w:t>
            </w:r>
            <w:r>
              <w:rPr>
                <w:color w:val="000000"/>
              </w:rPr>
            </w:r>
            <w:r>
              <w:rPr>
                <w:color w:val="000000"/>
              </w:rPr>
            </w:r>
          </w:p>
        </w:tc>
        <w:tc>
          <w:tcPr>
            <w:tcBorders/>
            <w:tcW w:w="1320" w:type="dxa"/>
            <w:vAlign w:val="center"/>
            <w:textDirection w:val="lrTb"/>
            <w:noWrap w:val="false"/>
          </w:tcPr>
          <w:p>
            <w:pPr>
              <w:pStyle w:val="796"/>
              <w:pBdr/>
              <w:spacing/>
              <w:ind/>
              <w:jc w:val="center"/>
              <w:rPr>
                <w:color w:val="000000"/>
              </w:rPr>
            </w:pPr>
            <w:r>
              <w:rPr>
                <w:rFonts w:hint="eastAsia"/>
                <w:color w:val="000000"/>
                <w:lang w:val="en-US"/>
              </w:rPr>
              <w:t xml:space="preserve">-</w:t>
            </w:r>
            <w:r>
              <w:rPr>
                <w:color w:val="000000"/>
              </w:rPr>
            </w:r>
            <w:r>
              <w:rPr>
                <w:color w:val="000000"/>
              </w:rPr>
            </w:r>
          </w:p>
        </w:tc>
        <w:tc>
          <w:tcPr>
            <w:tcBorders/>
            <w:tcW w:w="1005" w:type="dxa"/>
            <w:vAlign w:val="center"/>
            <w:textDirection w:val="lrTb"/>
            <w:noWrap w:val="false"/>
          </w:tcPr>
          <w:p>
            <w:pPr>
              <w:pStyle w:val="796"/>
              <w:pBdr/>
              <w:spacing/>
              <w:ind/>
              <w:jc w:val="center"/>
              <w:rPr>
                <w:color w:val="000000"/>
              </w:rPr>
            </w:pPr>
            <w:r>
              <w:rPr>
                <w:rFonts w:hint="eastAsia" w:cs="宋体"/>
                <w:color w:val="000000"/>
              </w:rPr>
              <w:t xml:space="preserve">预期性</w:t>
            </w:r>
            <w:r>
              <w:rPr>
                <w:color w:val="000000"/>
              </w:rPr>
            </w:r>
            <w:r>
              <w:rPr>
                <w:color w:val="000000"/>
              </w:rPr>
            </w:r>
          </w:p>
        </w:tc>
      </w:tr>
      <w:tr>
        <w:trPr>
          <w:trHeight w:val="430"/>
        </w:trPr>
        <w:tc>
          <w:tcPr>
            <w:tcBorders/>
            <w:tcW w:w="675" w:type="dxa"/>
            <w:vAlign w:val="center"/>
            <w:vMerge w:val="continue"/>
            <w:textDirection w:val="lrTb"/>
            <w:noWrap w:val="false"/>
          </w:tcPr>
          <w:p>
            <w:pPr>
              <w:pStyle w:val="796"/>
              <w:pBdr/>
              <w:spacing/>
              <w:ind/>
              <w:jc w:val="center"/>
              <w:rPr>
                <w:color w:val="000000"/>
              </w:rPr>
            </w:pPr>
            <w:r>
              <w:rPr>
                <w:color w:val="000000"/>
              </w:rPr>
            </w:r>
            <w:r>
              <w:rPr>
                <w:color w:val="000000"/>
              </w:rPr>
            </w:r>
          </w:p>
        </w:tc>
        <w:tc>
          <w:tcPr>
            <w:tcBorders/>
            <w:tcW w:w="540" w:type="dxa"/>
            <w:vAlign w:val="center"/>
            <w:textDirection w:val="lrTb"/>
            <w:noWrap w:val="false"/>
          </w:tcPr>
          <w:p>
            <w:pPr>
              <w:pStyle w:val="796"/>
              <w:pBdr/>
              <w:spacing/>
              <w:ind/>
              <w:jc w:val="center"/>
              <w:rPr>
                <w:color w:val="000000"/>
              </w:rPr>
            </w:pPr>
            <w:r>
              <w:rPr>
                <w:color w:val="000000"/>
              </w:rPr>
              <w:t xml:space="preserve">11</w:t>
            </w:r>
            <w:r>
              <w:rPr>
                <w:color w:val="000000"/>
              </w:rPr>
            </w:r>
            <w:r>
              <w:rPr>
                <w:color w:val="000000"/>
              </w:rPr>
            </w:r>
          </w:p>
        </w:tc>
        <w:tc>
          <w:tcPr>
            <w:tcBorders/>
            <w:tcW w:w="3930" w:type="dxa"/>
            <w:vAlign w:val="center"/>
            <w:textDirection w:val="lrTb"/>
            <w:noWrap w:val="false"/>
          </w:tcPr>
          <w:p>
            <w:pPr>
              <w:pStyle w:val="796"/>
              <w:pBdr/>
              <w:spacing/>
              <w:ind/>
              <w:rPr>
                <w:color w:val="000000"/>
              </w:rPr>
            </w:pPr>
            <w:r>
              <w:rPr>
                <w:rFonts w:hint="eastAsia" w:cs="宋体"/>
                <w:color w:val="000000"/>
              </w:rPr>
              <w:t xml:space="preserve">基本养老保险参保率（</w:t>
            </w:r>
            <w:r>
              <w:rPr>
                <w:color w:val="000000"/>
              </w:rPr>
              <w:t xml:space="preserve">%</w:t>
            </w:r>
            <w:r>
              <w:rPr>
                <w:rFonts w:hint="eastAsia" w:cs="宋体"/>
                <w:color w:val="000000"/>
              </w:rPr>
              <w:t xml:space="preserve">）</w:t>
            </w:r>
            <w:r>
              <w:rPr>
                <w:color w:val="000000"/>
              </w:rPr>
            </w:r>
            <w:r>
              <w:rPr>
                <w:color w:val="000000"/>
              </w:rPr>
            </w:r>
          </w:p>
        </w:tc>
        <w:tc>
          <w:tcPr>
            <w:tcBorders/>
            <w:tcW w:w="1260" w:type="dxa"/>
            <w:vAlign w:val="center"/>
            <w:textDirection w:val="lrTb"/>
            <w:noWrap w:val="false"/>
          </w:tcPr>
          <w:p>
            <w:pPr>
              <w:pStyle w:val="796"/>
              <w:pBdr/>
              <w:spacing/>
              <w:ind/>
              <w:jc w:val="center"/>
              <w:rPr>
                <w:color w:val="000000"/>
                <w:lang w:val="en-US"/>
              </w:rPr>
            </w:pPr>
            <w:r>
              <w:rPr>
                <w:rFonts w:hint="eastAsia"/>
                <w:color w:val="000000"/>
                <w:lang w:val="en-US"/>
              </w:rPr>
              <w:t xml:space="preserve">90</w:t>
            </w:r>
            <w:r>
              <w:rPr>
                <w:color w:val="000000"/>
                <w:lang w:val="en-US"/>
              </w:rPr>
            </w:r>
            <w:r>
              <w:rPr>
                <w:color w:val="000000"/>
                <w:lang w:val="en-US"/>
              </w:rPr>
            </w:r>
          </w:p>
        </w:tc>
        <w:tc>
          <w:tcPr>
            <w:tcBorders/>
            <w:tcW w:w="1305" w:type="dxa"/>
            <w:vAlign w:val="center"/>
            <w:textDirection w:val="lrTb"/>
            <w:noWrap w:val="false"/>
          </w:tcPr>
          <w:p>
            <w:pPr>
              <w:pStyle w:val="796"/>
              <w:pBdr/>
              <w:spacing/>
              <w:ind/>
              <w:jc w:val="center"/>
              <w:rPr>
                <w:color w:val="000000"/>
                <w:lang w:val="en-US"/>
              </w:rPr>
            </w:pPr>
            <w:r>
              <w:rPr>
                <w:rFonts w:hint="eastAsia"/>
                <w:color w:val="000000"/>
                <w:lang w:val="en-US"/>
              </w:rPr>
              <w:t xml:space="preserve">95</w:t>
            </w:r>
            <w:r>
              <w:rPr>
                <w:color w:val="000000"/>
                <w:lang w:val="en-US"/>
              </w:rPr>
            </w:r>
            <w:r>
              <w:rPr>
                <w:color w:val="000000"/>
                <w:lang w:val="en-US"/>
              </w:rPr>
            </w:r>
          </w:p>
        </w:tc>
        <w:tc>
          <w:tcPr>
            <w:tcBorders/>
            <w:tcW w:w="1320"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005" w:type="dxa"/>
            <w:vAlign w:val="center"/>
            <w:textDirection w:val="lrTb"/>
            <w:noWrap w:val="false"/>
          </w:tcPr>
          <w:p>
            <w:pPr>
              <w:pStyle w:val="796"/>
              <w:pBdr/>
              <w:spacing/>
              <w:ind/>
              <w:jc w:val="center"/>
              <w:rPr>
                <w:color w:val="000000"/>
              </w:rPr>
            </w:pPr>
            <w:r>
              <w:rPr>
                <w:rFonts w:hint="eastAsia" w:cs="宋体"/>
                <w:color w:val="000000"/>
              </w:rPr>
              <w:t xml:space="preserve">预期性</w:t>
            </w:r>
            <w:r>
              <w:rPr>
                <w:color w:val="000000"/>
              </w:rPr>
            </w:r>
            <w:r>
              <w:rPr>
                <w:color w:val="000000"/>
              </w:rPr>
            </w:r>
          </w:p>
        </w:tc>
      </w:tr>
      <w:tr>
        <w:trPr>
          <w:trHeight w:val="407"/>
        </w:trPr>
        <w:tc>
          <w:tcPr>
            <w:tcBorders/>
            <w:tcW w:w="675" w:type="dxa"/>
            <w:vAlign w:val="center"/>
            <w:vMerge w:val="continue"/>
            <w:textDirection w:val="lrTb"/>
            <w:noWrap w:val="false"/>
          </w:tcPr>
          <w:p>
            <w:pPr>
              <w:pStyle w:val="796"/>
              <w:pBdr/>
              <w:spacing/>
              <w:ind/>
              <w:jc w:val="center"/>
              <w:rPr>
                <w:color w:val="000000"/>
              </w:rPr>
            </w:pPr>
            <w:r>
              <w:rPr>
                <w:color w:val="000000"/>
              </w:rPr>
            </w:r>
            <w:r>
              <w:rPr>
                <w:color w:val="000000"/>
              </w:rPr>
            </w:r>
          </w:p>
        </w:tc>
        <w:tc>
          <w:tcPr>
            <w:tcBorders/>
            <w:tcW w:w="540" w:type="dxa"/>
            <w:vAlign w:val="center"/>
            <w:textDirection w:val="lrTb"/>
            <w:noWrap w:val="false"/>
          </w:tcPr>
          <w:p>
            <w:pPr>
              <w:pStyle w:val="796"/>
              <w:pBdr/>
              <w:spacing/>
              <w:ind/>
              <w:jc w:val="center"/>
              <w:rPr>
                <w:color w:val="000000"/>
              </w:rPr>
            </w:pPr>
            <w:r>
              <w:rPr>
                <w:color w:val="000000"/>
              </w:rPr>
              <w:t xml:space="preserve">12</w:t>
            </w:r>
            <w:r>
              <w:rPr>
                <w:color w:val="000000"/>
              </w:rPr>
            </w:r>
            <w:r>
              <w:rPr>
                <w:color w:val="000000"/>
              </w:rPr>
            </w:r>
          </w:p>
        </w:tc>
        <w:tc>
          <w:tcPr>
            <w:tcBorders/>
            <w:tcW w:w="3930" w:type="dxa"/>
            <w:vAlign w:val="center"/>
            <w:textDirection w:val="lrTb"/>
            <w:noWrap w:val="false"/>
          </w:tcPr>
          <w:p>
            <w:pPr>
              <w:pStyle w:val="796"/>
              <w:pBdr/>
              <w:spacing/>
              <w:ind/>
              <w:rPr>
                <w:color w:val="000000"/>
              </w:rPr>
            </w:pPr>
            <w:r>
              <w:rPr>
                <w:rFonts w:hint="eastAsia" w:cs="宋体"/>
                <w:color w:val="000000"/>
              </w:rPr>
              <w:t xml:space="preserve">每千人拥有</w:t>
            </w:r>
            <w:r>
              <w:rPr>
                <w:color w:val="000000"/>
              </w:rPr>
              <w:t xml:space="preserve">0-3</w:t>
            </w:r>
            <w:r>
              <w:rPr>
                <w:rFonts w:hint="eastAsia" w:cs="宋体"/>
                <w:color w:val="000000"/>
              </w:rPr>
              <w:t xml:space="preserve">岁婴幼儿托位数（个）</w:t>
            </w:r>
            <w:r>
              <w:rPr>
                <w:color w:val="000000"/>
              </w:rPr>
            </w:r>
            <w:r>
              <w:rPr>
                <w:color w:val="000000"/>
              </w:rPr>
            </w:r>
          </w:p>
        </w:tc>
        <w:tc>
          <w:tcPr>
            <w:tcBorders/>
            <w:tcW w:w="1260" w:type="dxa"/>
            <w:vAlign w:val="center"/>
            <w:textDirection w:val="lrTb"/>
            <w:noWrap w:val="false"/>
          </w:tcPr>
          <w:p>
            <w:pPr>
              <w:pStyle w:val="796"/>
              <w:pBdr/>
              <w:spacing/>
              <w:ind/>
              <w:jc w:val="center"/>
              <w:rPr>
                <w:rFonts w:hint="eastAsia"/>
                <w:color w:val="000000"/>
              </w:rPr>
            </w:pPr>
            <w:r>
              <w:rPr>
                <w:rFonts w:hint="eastAsia"/>
                <w:color w:val="000000"/>
                <w:lang w:val="en-US"/>
              </w:rPr>
              <w:t xml:space="preserve">0</w:t>
            </w:r>
            <w:r>
              <w:rPr>
                <w:color w:val="000000"/>
              </w:rPr>
              <w:t xml:space="preserve">.</w:t>
            </w:r>
            <w:r>
              <w:rPr>
                <w:rFonts w:hint="eastAsia"/>
                <w:color w:val="000000"/>
                <w:lang w:val="en-US" w:eastAsia="zh-CN"/>
              </w:rPr>
              <w:t xml:space="preserve">3</w:t>
            </w:r>
            <w:r>
              <w:rPr>
                <w:rFonts w:hint="eastAsia"/>
                <w:color w:val="000000"/>
                <w:lang w:val="en-US"/>
              </w:rPr>
              <w:t xml:space="preserve">2</w:t>
            </w:r>
            <w:r>
              <w:rPr>
                <w:rFonts w:hint="eastAsia"/>
                <w:color w:val="000000"/>
              </w:rPr>
            </w:r>
            <w:r>
              <w:rPr>
                <w:rFonts w:hint="eastAsia"/>
                <w:color w:val="000000"/>
              </w:rPr>
            </w:r>
          </w:p>
        </w:tc>
        <w:tc>
          <w:tcPr>
            <w:tcBorders/>
            <w:tcW w:w="1305" w:type="dxa"/>
            <w:vAlign w:val="center"/>
            <w:textDirection w:val="lrTb"/>
            <w:noWrap w:val="false"/>
          </w:tcPr>
          <w:p>
            <w:pPr>
              <w:pStyle w:val="796"/>
              <w:pBdr/>
              <w:spacing/>
              <w:ind/>
              <w:jc w:val="center"/>
              <w:rPr>
                <w:rFonts w:hint="eastAsia"/>
                <w:color w:val="000000"/>
              </w:rPr>
            </w:pPr>
            <w:r>
              <w:rPr>
                <w:rFonts w:hint="eastAsia"/>
                <w:color w:val="000000"/>
                <w:lang w:val="en-US" w:eastAsia="zh-CN"/>
              </w:rPr>
              <w:t xml:space="preserve">2.</w:t>
            </w:r>
            <w:r>
              <w:rPr>
                <w:rFonts w:hint="eastAsia"/>
                <w:color w:val="000000"/>
                <w:lang w:val="en-US"/>
              </w:rPr>
              <w:t xml:space="preserve">4</w:t>
            </w:r>
            <w:r>
              <w:rPr>
                <w:rFonts w:hint="eastAsia"/>
                <w:color w:val="000000"/>
              </w:rPr>
            </w:r>
            <w:r>
              <w:rPr>
                <w:rFonts w:hint="eastAsia"/>
                <w:color w:val="000000"/>
              </w:rPr>
            </w:r>
          </w:p>
        </w:tc>
        <w:tc>
          <w:tcPr>
            <w:tcBorders/>
            <w:tcW w:w="1320" w:type="dxa"/>
            <w:vAlign w:val="center"/>
            <w:textDirection w:val="lrTb"/>
            <w:noWrap w:val="false"/>
          </w:tcPr>
          <w:p>
            <w:pPr>
              <w:pStyle w:val="796"/>
              <w:pBdr/>
              <w:spacing/>
              <w:ind/>
              <w:jc w:val="center"/>
              <w:rPr>
                <w:color w:val="000000"/>
              </w:rPr>
            </w:pPr>
            <w:r>
              <w:rPr>
                <w:rFonts w:hint="eastAsia"/>
                <w:color w:val="000000"/>
                <w:lang w:val="en-US"/>
              </w:rPr>
              <w:t xml:space="preserve">-</w:t>
            </w:r>
            <w:r>
              <w:rPr>
                <w:color w:val="000000"/>
              </w:rPr>
            </w:r>
            <w:r>
              <w:rPr>
                <w:color w:val="000000"/>
              </w:rPr>
            </w:r>
          </w:p>
        </w:tc>
        <w:tc>
          <w:tcPr>
            <w:tcBorders/>
            <w:tcW w:w="1005" w:type="dxa"/>
            <w:vAlign w:val="center"/>
            <w:textDirection w:val="lrTb"/>
            <w:noWrap w:val="false"/>
          </w:tcPr>
          <w:p>
            <w:pPr>
              <w:pStyle w:val="796"/>
              <w:pBdr/>
              <w:spacing/>
              <w:ind/>
              <w:jc w:val="center"/>
              <w:rPr>
                <w:color w:val="000000"/>
              </w:rPr>
            </w:pPr>
            <w:r>
              <w:rPr>
                <w:rFonts w:hint="eastAsia" w:cs="宋体"/>
                <w:color w:val="000000"/>
              </w:rPr>
              <w:t xml:space="preserve">预期性</w:t>
            </w:r>
            <w:r>
              <w:rPr>
                <w:color w:val="000000"/>
              </w:rPr>
            </w:r>
            <w:r>
              <w:rPr>
                <w:color w:val="000000"/>
              </w:rPr>
            </w:r>
          </w:p>
        </w:tc>
      </w:tr>
      <w:tr>
        <w:trPr>
          <w:trHeight w:val="422"/>
        </w:trPr>
        <w:tc>
          <w:tcPr>
            <w:tcBorders/>
            <w:tcW w:w="675" w:type="dxa"/>
            <w:vAlign w:val="center"/>
            <w:vMerge w:val="continue"/>
            <w:textDirection w:val="lrTb"/>
            <w:noWrap w:val="false"/>
          </w:tcPr>
          <w:p>
            <w:pPr>
              <w:pStyle w:val="796"/>
              <w:pBdr/>
              <w:spacing/>
              <w:ind/>
              <w:jc w:val="center"/>
              <w:rPr>
                <w:color w:val="000000"/>
              </w:rPr>
            </w:pPr>
            <w:r>
              <w:rPr>
                <w:color w:val="000000"/>
              </w:rPr>
            </w:r>
            <w:r>
              <w:rPr>
                <w:color w:val="000000"/>
              </w:rPr>
            </w:r>
          </w:p>
        </w:tc>
        <w:tc>
          <w:tcPr>
            <w:tcBorders/>
            <w:tcW w:w="540" w:type="dxa"/>
            <w:vAlign w:val="center"/>
            <w:textDirection w:val="lrTb"/>
            <w:noWrap w:val="false"/>
          </w:tcPr>
          <w:p>
            <w:pPr>
              <w:pStyle w:val="796"/>
              <w:pBdr/>
              <w:spacing/>
              <w:ind/>
              <w:jc w:val="center"/>
              <w:rPr>
                <w:color w:val="000000"/>
              </w:rPr>
            </w:pPr>
            <w:r>
              <w:rPr>
                <w:color w:val="000000"/>
              </w:rPr>
              <w:t xml:space="preserve">13</w:t>
            </w:r>
            <w:r>
              <w:rPr>
                <w:color w:val="000000"/>
              </w:rPr>
            </w:r>
            <w:r>
              <w:rPr>
                <w:color w:val="000000"/>
              </w:rPr>
            </w:r>
          </w:p>
        </w:tc>
        <w:tc>
          <w:tcPr>
            <w:tcBorders/>
            <w:tcW w:w="3930" w:type="dxa"/>
            <w:vAlign w:val="center"/>
            <w:textDirection w:val="lrTb"/>
            <w:noWrap w:val="false"/>
          </w:tcPr>
          <w:p>
            <w:pPr>
              <w:pStyle w:val="796"/>
              <w:pBdr/>
              <w:spacing/>
              <w:ind/>
              <w:rPr>
                <w:color w:val="000000"/>
              </w:rPr>
            </w:pPr>
            <w:r>
              <w:rPr>
                <w:rFonts w:hint="eastAsia" w:cs="宋体"/>
                <w:color w:val="000000"/>
              </w:rPr>
              <w:t xml:space="preserve">人均预期寿命（岁）</w:t>
            </w:r>
            <w:r>
              <w:rPr>
                <w:color w:val="000000"/>
              </w:rPr>
            </w:r>
            <w:r>
              <w:rPr>
                <w:color w:val="000000"/>
              </w:rPr>
            </w:r>
          </w:p>
        </w:tc>
        <w:tc>
          <w:tcPr>
            <w:tcBorders/>
            <w:tcW w:w="1260" w:type="dxa"/>
            <w:vAlign w:val="center"/>
            <w:textDirection w:val="lrTb"/>
            <w:noWrap w:val="false"/>
          </w:tcPr>
          <w:p>
            <w:pPr>
              <w:pStyle w:val="796"/>
              <w:pBdr/>
              <w:spacing/>
              <w:ind/>
              <w:jc w:val="center"/>
              <w:rPr>
                <w:color w:val="000000"/>
                <w:lang w:val="en-US"/>
              </w:rPr>
            </w:pPr>
            <w:r>
              <w:rPr>
                <w:color w:val="000000"/>
              </w:rPr>
              <w:t xml:space="preserve">77.5</w:t>
            </w:r>
            <w:r>
              <w:rPr>
                <w:color w:val="000000"/>
                <w:lang w:val="en-US"/>
              </w:rPr>
            </w:r>
            <w:r>
              <w:rPr>
                <w:color w:val="000000"/>
                <w:lang w:val="en-US"/>
              </w:rPr>
            </w:r>
          </w:p>
        </w:tc>
        <w:tc>
          <w:tcPr>
            <w:tcBorders/>
            <w:tcW w:w="1305" w:type="dxa"/>
            <w:vAlign w:val="center"/>
            <w:textDirection w:val="lrTb"/>
            <w:noWrap w:val="false"/>
          </w:tcPr>
          <w:p>
            <w:pPr>
              <w:pStyle w:val="796"/>
              <w:pBdr/>
              <w:spacing/>
              <w:ind/>
              <w:jc w:val="center"/>
              <w:rPr>
                <w:rFonts w:hint="eastAsia"/>
                <w:color w:val="000000"/>
              </w:rPr>
            </w:pPr>
            <w:r>
              <w:rPr>
                <w:color w:val="000000"/>
              </w:rPr>
              <w:t xml:space="preserve">77.9</w:t>
            </w:r>
            <w:r>
              <w:rPr>
                <w:rFonts w:hint="eastAsia"/>
                <w:color w:val="000000"/>
              </w:rPr>
            </w:r>
            <w:r>
              <w:rPr>
                <w:rFonts w:hint="eastAsia"/>
                <w:color w:val="000000"/>
              </w:rPr>
            </w:r>
          </w:p>
        </w:tc>
        <w:tc>
          <w:tcPr>
            <w:tcBorders/>
            <w:tcW w:w="1320" w:type="dxa"/>
            <w:vAlign w:val="center"/>
            <w:textDirection w:val="lrTb"/>
            <w:noWrap w:val="false"/>
          </w:tcPr>
          <w:p>
            <w:pPr>
              <w:pStyle w:val="796"/>
              <w:pBdr/>
              <w:spacing/>
              <w:ind/>
              <w:jc w:val="center"/>
              <w:rPr>
                <w:color w:val="000000"/>
              </w:rPr>
            </w:pPr>
            <w:r>
              <w:rPr>
                <w:rFonts w:hint="eastAsia"/>
                <w:color w:val="000000"/>
              </w:rPr>
              <w:t xml:space="preserve">【</w:t>
            </w:r>
            <w:r>
              <w:rPr>
                <w:rFonts w:hint="eastAsia"/>
                <w:color w:val="000000"/>
                <w:lang w:val="en-US"/>
              </w:rPr>
              <w:t xml:space="preserve">0.4</w:t>
            </w:r>
            <w:r>
              <w:rPr>
                <w:rFonts w:hint="eastAsia"/>
                <w:color w:val="000000"/>
              </w:rPr>
              <w:t xml:space="preserve">】</w:t>
            </w:r>
            <w:r>
              <w:rPr>
                <w:color w:val="000000"/>
              </w:rPr>
            </w:r>
            <w:r>
              <w:rPr>
                <w:color w:val="000000"/>
              </w:rPr>
            </w:r>
          </w:p>
        </w:tc>
        <w:tc>
          <w:tcPr>
            <w:tcBorders/>
            <w:tcW w:w="1005" w:type="dxa"/>
            <w:vAlign w:val="center"/>
            <w:textDirection w:val="lrTb"/>
            <w:noWrap w:val="false"/>
          </w:tcPr>
          <w:p>
            <w:pPr>
              <w:pStyle w:val="796"/>
              <w:pBdr/>
              <w:spacing/>
              <w:ind/>
              <w:jc w:val="center"/>
              <w:rPr>
                <w:color w:val="000000"/>
              </w:rPr>
            </w:pPr>
            <w:r>
              <w:rPr>
                <w:rFonts w:hint="eastAsia" w:cs="宋体"/>
                <w:color w:val="000000"/>
              </w:rPr>
              <w:t xml:space="preserve">预期性</w:t>
            </w:r>
            <w:r>
              <w:rPr>
                <w:color w:val="000000"/>
              </w:rPr>
            </w:r>
            <w:r>
              <w:rPr>
                <w:color w:val="000000"/>
              </w:rPr>
            </w:r>
          </w:p>
        </w:tc>
      </w:tr>
      <w:tr>
        <w:trPr>
          <w:trHeight w:val="436"/>
        </w:trPr>
        <w:tc>
          <w:tcPr>
            <w:tcBorders/>
            <w:tcW w:w="675" w:type="dxa"/>
            <w:vAlign w:val="center"/>
            <w:vMerge w:val="restart"/>
            <w:textDirection w:val="lrTb"/>
            <w:noWrap w:val="false"/>
          </w:tcPr>
          <w:p>
            <w:pPr>
              <w:pStyle w:val="796"/>
              <w:pBdr/>
              <w:spacing/>
              <w:ind/>
              <w:jc w:val="center"/>
              <w:rPr>
                <w:color w:val="000000"/>
              </w:rPr>
            </w:pPr>
            <w:r>
              <w:rPr>
                <w:rFonts w:hint="eastAsia" w:cs="宋体"/>
                <w:color w:val="000000"/>
              </w:rPr>
              <w:t xml:space="preserve">生态环境</w:t>
            </w:r>
            <w:r>
              <w:rPr>
                <w:color w:val="000000"/>
              </w:rPr>
            </w:r>
            <w:r>
              <w:rPr>
                <w:color w:val="000000"/>
              </w:rPr>
            </w:r>
          </w:p>
        </w:tc>
        <w:tc>
          <w:tcPr>
            <w:tcBorders/>
            <w:tcW w:w="540" w:type="dxa"/>
            <w:vAlign w:val="center"/>
            <w:textDirection w:val="lrTb"/>
            <w:noWrap w:val="false"/>
          </w:tcPr>
          <w:p>
            <w:pPr>
              <w:pStyle w:val="796"/>
              <w:pBdr/>
              <w:spacing/>
              <w:ind/>
              <w:jc w:val="center"/>
              <w:rPr>
                <w:color w:val="000000"/>
              </w:rPr>
            </w:pPr>
            <w:r>
              <w:rPr>
                <w:color w:val="000000"/>
              </w:rPr>
              <w:t xml:space="preserve">14</w:t>
            </w:r>
            <w:r>
              <w:rPr>
                <w:color w:val="000000"/>
              </w:rPr>
            </w:r>
            <w:r>
              <w:rPr>
                <w:color w:val="000000"/>
              </w:rPr>
            </w:r>
          </w:p>
        </w:tc>
        <w:tc>
          <w:tcPr>
            <w:tcBorders/>
            <w:tcW w:w="3930" w:type="dxa"/>
            <w:vAlign w:val="center"/>
            <w:textDirection w:val="lrTb"/>
            <w:noWrap w:val="false"/>
          </w:tcPr>
          <w:p>
            <w:pPr>
              <w:pStyle w:val="796"/>
              <w:pBdr/>
              <w:spacing/>
              <w:ind/>
              <w:rPr>
                <w:color w:val="000000"/>
              </w:rPr>
            </w:pPr>
            <w:r>
              <w:rPr>
                <w:rFonts w:hint="eastAsia" w:cs="宋体"/>
                <w:color w:val="000000"/>
              </w:rPr>
              <w:t xml:space="preserve">单位</w:t>
            </w:r>
            <w:r>
              <w:rPr>
                <w:rFonts w:hint="eastAsia"/>
                <w:color w:val="000000"/>
                <w:lang w:eastAsia="zh-CN"/>
              </w:rPr>
              <w:t xml:space="preserve">地区生产总值</w:t>
            </w:r>
            <w:r>
              <w:rPr>
                <w:rFonts w:hint="eastAsia" w:cs="宋体"/>
                <w:color w:val="000000"/>
              </w:rPr>
              <w:t xml:space="preserve">能耗降低（</w:t>
            </w:r>
            <w:r>
              <w:rPr>
                <w:color w:val="000000"/>
              </w:rPr>
              <w:t xml:space="preserve">%</w:t>
            </w:r>
            <w:r>
              <w:rPr>
                <w:rFonts w:hint="eastAsia" w:cs="宋体"/>
                <w:color w:val="000000"/>
              </w:rPr>
              <w:t xml:space="preserve">）</w:t>
            </w:r>
            <w:r>
              <w:rPr>
                <w:color w:val="000000"/>
              </w:rPr>
            </w:r>
            <w:r>
              <w:rPr>
                <w:color w:val="000000"/>
              </w:rPr>
            </w:r>
          </w:p>
        </w:tc>
        <w:tc>
          <w:tcPr>
            <w:tcBorders/>
            <w:tcW w:w="1260"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305"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320" w:type="dxa"/>
            <w:vAlign w:val="center"/>
            <w:textDirection w:val="lrTb"/>
            <w:noWrap w:val="false"/>
          </w:tcPr>
          <w:p>
            <w:pPr>
              <w:pStyle w:val="796"/>
              <w:pBdr/>
              <w:spacing/>
              <w:ind/>
              <w:jc w:val="center"/>
              <w:rPr>
                <w:rFonts w:hint="eastAsia"/>
                <w:color w:val="000000"/>
              </w:rPr>
            </w:pPr>
            <w:r>
              <w:rPr>
                <w:rFonts w:hint="eastAsia"/>
                <w:color w:val="000000"/>
              </w:rPr>
              <w:t xml:space="preserve">控制在省</w:t>
            </w:r>
            <w:r>
              <w:rPr>
                <w:rFonts w:hint="eastAsia"/>
                <w:color w:val="000000"/>
              </w:rPr>
            </w:r>
            <w:r>
              <w:rPr>
                <w:rFonts w:hint="eastAsia"/>
                <w:color w:val="000000"/>
              </w:rPr>
            </w:r>
          </w:p>
          <w:p>
            <w:pPr>
              <w:pStyle w:val="796"/>
              <w:pBdr/>
              <w:spacing/>
              <w:ind/>
              <w:jc w:val="center"/>
              <w:rPr>
                <w:rFonts w:hint="eastAsia"/>
                <w:color w:val="000000"/>
              </w:rPr>
            </w:pPr>
            <w:r>
              <w:rPr>
                <w:rFonts w:hint="eastAsia"/>
                <w:color w:val="000000"/>
              </w:rPr>
              <w:t xml:space="preserve">下达指标内</w:t>
            </w:r>
            <w:r>
              <w:rPr>
                <w:rFonts w:hint="eastAsia"/>
                <w:color w:val="000000"/>
              </w:rPr>
            </w:r>
            <w:r>
              <w:rPr>
                <w:rFonts w:hint="eastAsia"/>
                <w:color w:val="000000"/>
              </w:rPr>
            </w:r>
          </w:p>
        </w:tc>
        <w:tc>
          <w:tcPr>
            <w:tcBorders/>
            <w:tcW w:w="1005" w:type="dxa"/>
            <w:vAlign w:val="center"/>
            <w:textDirection w:val="lrTb"/>
            <w:noWrap w:val="false"/>
          </w:tcPr>
          <w:p>
            <w:pPr>
              <w:pStyle w:val="796"/>
              <w:pBdr/>
              <w:spacing/>
              <w:ind/>
              <w:jc w:val="center"/>
              <w:rPr>
                <w:color w:val="000000"/>
              </w:rPr>
            </w:pPr>
            <w:r>
              <w:rPr>
                <w:rFonts w:hint="eastAsia" w:cs="宋体"/>
                <w:color w:val="000000"/>
              </w:rPr>
              <w:t xml:space="preserve">约束性</w:t>
            </w:r>
            <w:r>
              <w:rPr>
                <w:color w:val="000000"/>
              </w:rPr>
            </w:r>
            <w:r>
              <w:rPr>
                <w:color w:val="000000"/>
              </w:rPr>
            </w:r>
          </w:p>
        </w:tc>
      </w:tr>
      <w:tr>
        <w:trPr>
          <w:trHeight w:val="407"/>
        </w:trPr>
        <w:tc>
          <w:tcPr>
            <w:tcBorders/>
            <w:tcW w:w="675" w:type="dxa"/>
            <w:vAlign w:val="center"/>
            <w:vMerge w:val="continue"/>
            <w:textDirection w:val="lrTb"/>
            <w:noWrap w:val="false"/>
          </w:tcPr>
          <w:p>
            <w:pPr>
              <w:pStyle w:val="796"/>
              <w:pBdr/>
              <w:spacing/>
              <w:ind/>
              <w:jc w:val="center"/>
              <w:rPr>
                <w:color w:val="000000"/>
              </w:rPr>
            </w:pPr>
            <w:r>
              <w:rPr>
                <w:color w:val="000000"/>
              </w:rPr>
            </w:r>
            <w:r>
              <w:rPr>
                <w:color w:val="000000"/>
              </w:rPr>
            </w:r>
          </w:p>
        </w:tc>
        <w:tc>
          <w:tcPr>
            <w:tcBorders/>
            <w:tcW w:w="540" w:type="dxa"/>
            <w:vAlign w:val="center"/>
            <w:textDirection w:val="lrTb"/>
            <w:noWrap w:val="false"/>
          </w:tcPr>
          <w:p>
            <w:pPr>
              <w:pStyle w:val="796"/>
              <w:pBdr/>
              <w:spacing/>
              <w:ind/>
              <w:jc w:val="center"/>
              <w:rPr>
                <w:color w:val="000000"/>
              </w:rPr>
            </w:pPr>
            <w:r>
              <w:rPr>
                <w:color w:val="000000"/>
              </w:rPr>
              <w:t xml:space="preserve">15</w:t>
            </w:r>
            <w:r>
              <w:rPr>
                <w:color w:val="000000"/>
              </w:rPr>
            </w:r>
            <w:r>
              <w:rPr>
                <w:color w:val="000000"/>
              </w:rPr>
            </w:r>
          </w:p>
        </w:tc>
        <w:tc>
          <w:tcPr>
            <w:tcBorders/>
            <w:tcW w:w="3930" w:type="dxa"/>
            <w:vAlign w:val="center"/>
            <w:textDirection w:val="lrTb"/>
            <w:noWrap w:val="false"/>
          </w:tcPr>
          <w:p>
            <w:pPr>
              <w:pStyle w:val="796"/>
              <w:pBdr/>
              <w:spacing/>
              <w:ind/>
              <w:rPr>
                <w:color w:val="000000"/>
              </w:rPr>
            </w:pPr>
            <w:r>
              <w:rPr>
                <w:rFonts w:hint="eastAsia" w:cs="宋体"/>
                <w:color w:val="000000"/>
              </w:rPr>
              <w:t xml:space="preserve">单位</w:t>
            </w:r>
            <w:r>
              <w:rPr>
                <w:rFonts w:hint="eastAsia"/>
                <w:color w:val="000000"/>
                <w:lang w:eastAsia="zh-CN"/>
              </w:rPr>
              <w:t xml:space="preserve">地区生产总值</w:t>
            </w:r>
            <w:r>
              <w:rPr>
                <w:rFonts w:hint="eastAsia" w:cs="宋体"/>
                <w:color w:val="000000"/>
              </w:rPr>
              <w:t xml:space="preserve">二氧化碳排放降低（</w:t>
            </w:r>
            <w:r>
              <w:rPr>
                <w:color w:val="000000"/>
              </w:rPr>
              <w:t xml:space="preserve">%</w:t>
            </w:r>
            <w:r>
              <w:rPr>
                <w:rFonts w:hint="eastAsia" w:cs="宋体"/>
                <w:color w:val="000000"/>
              </w:rPr>
              <w:t xml:space="preserve">）</w:t>
            </w:r>
            <w:r>
              <w:rPr>
                <w:color w:val="000000"/>
              </w:rPr>
            </w:r>
            <w:r>
              <w:rPr>
                <w:color w:val="000000"/>
              </w:rPr>
            </w:r>
          </w:p>
        </w:tc>
        <w:tc>
          <w:tcPr>
            <w:tcBorders/>
            <w:tcW w:w="1260"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305"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320" w:type="dxa"/>
            <w:vAlign w:val="center"/>
            <w:textDirection w:val="lrTb"/>
            <w:noWrap w:val="false"/>
          </w:tcPr>
          <w:p>
            <w:pPr>
              <w:pStyle w:val="796"/>
              <w:pBdr/>
              <w:spacing/>
              <w:ind/>
              <w:jc w:val="center"/>
              <w:rPr>
                <w:rFonts w:hint="eastAsia"/>
                <w:color w:val="000000"/>
              </w:rPr>
            </w:pPr>
            <w:r>
              <w:rPr>
                <w:rFonts w:hint="eastAsia"/>
                <w:color w:val="000000"/>
              </w:rPr>
              <w:t xml:space="preserve">控制在省</w:t>
            </w:r>
            <w:r>
              <w:rPr>
                <w:rFonts w:hint="eastAsia"/>
                <w:color w:val="000000"/>
              </w:rPr>
            </w:r>
            <w:r>
              <w:rPr>
                <w:rFonts w:hint="eastAsia"/>
                <w:color w:val="000000"/>
              </w:rPr>
            </w:r>
          </w:p>
          <w:p>
            <w:pPr>
              <w:pStyle w:val="796"/>
              <w:pBdr/>
              <w:spacing/>
              <w:ind/>
              <w:jc w:val="center"/>
              <w:rPr>
                <w:color w:val="000000"/>
              </w:rPr>
            </w:pPr>
            <w:r>
              <w:rPr>
                <w:rFonts w:hint="eastAsia"/>
                <w:color w:val="000000"/>
              </w:rPr>
              <w:t xml:space="preserve">下达指标内</w:t>
            </w:r>
            <w:r>
              <w:rPr>
                <w:color w:val="000000"/>
              </w:rPr>
            </w:r>
            <w:r>
              <w:rPr>
                <w:color w:val="000000"/>
              </w:rPr>
            </w:r>
          </w:p>
        </w:tc>
        <w:tc>
          <w:tcPr>
            <w:tcBorders/>
            <w:tcW w:w="1005" w:type="dxa"/>
            <w:vAlign w:val="center"/>
            <w:textDirection w:val="lrTb"/>
            <w:noWrap w:val="false"/>
          </w:tcPr>
          <w:p>
            <w:pPr>
              <w:pStyle w:val="796"/>
              <w:pBdr/>
              <w:spacing/>
              <w:ind/>
              <w:jc w:val="center"/>
              <w:rPr>
                <w:color w:val="000000"/>
              </w:rPr>
            </w:pPr>
            <w:r>
              <w:rPr>
                <w:rFonts w:hint="eastAsia" w:cs="宋体"/>
                <w:color w:val="000000"/>
              </w:rPr>
              <w:t xml:space="preserve">约束性</w:t>
            </w:r>
            <w:r>
              <w:rPr>
                <w:color w:val="000000"/>
              </w:rPr>
            </w:r>
            <w:r>
              <w:rPr>
                <w:color w:val="000000"/>
              </w:rPr>
            </w:r>
          </w:p>
        </w:tc>
      </w:tr>
      <w:tr>
        <w:trPr>
          <w:trHeight w:val="410"/>
        </w:trPr>
        <w:tc>
          <w:tcPr>
            <w:tcBorders/>
            <w:tcW w:w="675" w:type="dxa"/>
            <w:vAlign w:val="center"/>
            <w:vMerge w:val="continue"/>
            <w:textDirection w:val="lrTb"/>
            <w:noWrap w:val="false"/>
          </w:tcPr>
          <w:p>
            <w:pPr>
              <w:pStyle w:val="796"/>
              <w:pBdr/>
              <w:spacing/>
              <w:ind/>
              <w:jc w:val="center"/>
              <w:rPr>
                <w:color w:val="000000"/>
              </w:rPr>
            </w:pPr>
            <w:r>
              <w:rPr>
                <w:color w:val="000000"/>
              </w:rPr>
            </w:r>
            <w:r>
              <w:rPr>
                <w:color w:val="000000"/>
              </w:rPr>
            </w:r>
          </w:p>
        </w:tc>
        <w:tc>
          <w:tcPr>
            <w:tcBorders/>
            <w:tcW w:w="540" w:type="dxa"/>
            <w:vAlign w:val="center"/>
            <w:textDirection w:val="lrTb"/>
            <w:noWrap w:val="false"/>
          </w:tcPr>
          <w:p>
            <w:pPr>
              <w:pStyle w:val="796"/>
              <w:pBdr/>
              <w:spacing/>
              <w:ind/>
              <w:jc w:val="center"/>
              <w:rPr>
                <w:color w:val="000000"/>
              </w:rPr>
            </w:pPr>
            <w:r>
              <w:rPr>
                <w:color w:val="000000"/>
              </w:rPr>
              <w:t xml:space="preserve">16</w:t>
            </w:r>
            <w:r>
              <w:rPr>
                <w:color w:val="000000"/>
              </w:rPr>
            </w:r>
            <w:r>
              <w:rPr>
                <w:color w:val="000000"/>
              </w:rPr>
            </w:r>
          </w:p>
        </w:tc>
        <w:tc>
          <w:tcPr>
            <w:tcBorders/>
            <w:tcW w:w="3930" w:type="dxa"/>
            <w:vAlign w:val="center"/>
            <w:textDirection w:val="lrTb"/>
            <w:noWrap w:val="false"/>
          </w:tcPr>
          <w:p>
            <w:pPr>
              <w:pStyle w:val="796"/>
              <w:pBdr/>
              <w:spacing/>
              <w:ind/>
              <w:rPr>
                <w:color w:val="000000"/>
              </w:rPr>
            </w:pPr>
            <w:r>
              <w:rPr>
                <w:rFonts w:hint="eastAsia" w:cs="宋体"/>
                <w:color w:val="000000"/>
              </w:rPr>
              <w:t xml:space="preserve">空气质量优良天数比例（</w:t>
            </w:r>
            <w:r>
              <w:rPr>
                <w:color w:val="000000"/>
              </w:rPr>
              <w:t xml:space="preserve">%</w:t>
            </w:r>
            <w:r>
              <w:rPr>
                <w:rFonts w:hint="eastAsia" w:cs="宋体"/>
                <w:color w:val="000000"/>
              </w:rPr>
              <w:t xml:space="preserve">）</w:t>
            </w:r>
            <w:r>
              <w:rPr>
                <w:color w:val="000000"/>
              </w:rPr>
            </w:r>
            <w:r>
              <w:rPr>
                <w:color w:val="000000"/>
              </w:rPr>
            </w:r>
          </w:p>
        </w:tc>
        <w:tc>
          <w:tcPr>
            <w:tcBorders/>
            <w:tcW w:w="1260" w:type="dxa"/>
            <w:vAlign w:val="center"/>
            <w:textDirection w:val="lrTb"/>
            <w:noWrap w:val="false"/>
          </w:tcPr>
          <w:p>
            <w:pPr>
              <w:pStyle w:val="796"/>
              <w:pBdr/>
              <w:spacing/>
              <w:ind/>
              <w:jc w:val="center"/>
              <w:rPr>
                <w:rFonts w:hint="eastAsia"/>
                <w:color w:val="000000"/>
              </w:rPr>
            </w:pPr>
            <w:r>
              <w:rPr>
                <w:rFonts w:hint="eastAsia"/>
                <w:color w:val="000000"/>
              </w:rPr>
              <w:t xml:space="preserve">达标</w:t>
            </w:r>
            <w:r>
              <w:rPr>
                <w:rFonts w:hint="eastAsia"/>
                <w:color w:val="000000"/>
              </w:rPr>
            </w:r>
            <w:r>
              <w:rPr>
                <w:rFonts w:hint="eastAsia"/>
                <w:color w:val="000000"/>
              </w:rPr>
            </w:r>
          </w:p>
        </w:tc>
        <w:tc>
          <w:tcPr>
            <w:tcBorders/>
            <w:tcW w:w="1305" w:type="dxa"/>
            <w:vAlign w:val="center"/>
            <w:textDirection w:val="lrTb"/>
            <w:noWrap w:val="false"/>
          </w:tcPr>
          <w:p>
            <w:pPr>
              <w:pStyle w:val="796"/>
              <w:pBdr/>
              <w:spacing/>
              <w:ind/>
              <w:jc w:val="center"/>
              <w:rPr>
                <w:rFonts w:hint="eastAsia"/>
                <w:color w:val="000000"/>
              </w:rPr>
            </w:pPr>
            <w:r>
              <w:rPr>
                <w:rFonts w:hint="eastAsia"/>
                <w:color w:val="000000"/>
              </w:rPr>
              <w:t xml:space="preserve">控制在省</w:t>
            </w:r>
            <w:r>
              <w:rPr>
                <w:rFonts w:hint="eastAsia"/>
                <w:color w:val="000000"/>
              </w:rPr>
            </w:r>
            <w:r>
              <w:rPr>
                <w:rFonts w:hint="eastAsia"/>
                <w:color w:val="000000"/>
              </w:rPr>
            </w:r>
          </w:p>
          <w:p>
            <w:pPr>
              <w:pStyle w:val="796"/>
              <w:pBdr/>
              <w:spacing/>
              <w:ind/>
              <w:jc w:val="center"/>
              <w:rPr>
                <w:rFonts w:hint="eastAsia"/>
                <w:color w:val="000000"/>
              </w:rPr>
            </w:pPr>
            <w:r>
              <w:rPr>
                <w:rFonts w:hint="eastAsia"/>
                <w:color w:val="000000"/>
              </w:rPr>
              <w:t xml:space="preserve">下达指标内</w:t>
            </w:r>
            <w:r>
              <w:rPr>
                <w:rFonts w:hint="eastAsia"/>
                <w:color w:val="000000"/>
              </w:rPr>
            </w:r>
            <w:r>
              <w:rPr>
                <w:rFonts w:hint="eastAsia"/>
                <w:color w:val="000000"/>
              </w:rPr>
            </w:r>
          </w:p>
        </w:tc>
        <w:tc>
          <w:tcPr>
            <w:tcBorders/>
            <w:tcW w:w="1320"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005" w:type="dxa"/>
            <w:vAlign w:val="center"/>
            <w:textDirection w:val="lrTb"/>
            <w:noWrap w:val="false"/>
          </w:tcPr>
          <w:p>
            <w:pPr>
              <w:pStyle w:val="796"/>
              <w:pBdr/>
              <w:spacing/>
              <w:ind/>
              <w:jc w:val="center"/>
              <w:rPr>
                <w:color w:val="000000"/>
              </w:rPr>
            </w:pPr>
            <w:r>
              <w:rPr>
                <w:rFonts w:hint="eastAsia" w:cs="宋体"/>
                <w:color w:val="000000"/>
              </w:rPr>
              <w:t xml:space="preserve">约束性</w:t>
            </w:r>
            <w:r>
              <w:rPr>
                <w:color w:val="000000"/>
              </w:rPr>
            </w:r>
            <w:r>
              <w:rPr>
                <w:color w:val="000000"/>
              </w:rPr>
            </w:r>
          </w:p>
        </w:tc>
      </w:tr>
      <w:tr>
        <w:trPr>
          <w:trHeight w:val="410"/>
        </w:trPr>
        <w:tc>
          <w:tcPr>
            <w:tcBorders/>
            <w:tcW w:w="675" w:type="dxa"/>
            <w:vAlign w:val="center"/>
            <w:vMerge w:val="continue"/>
            <w:textDirection w:val="lrTb"/>
            <w:noWrap w:val="false"/>
          </w:tcPr>
          <w:p>
            <w:pPr>
              <w:pStyle w:val="796"/>
              <w:pBdr/>
              <w:spacing/>
              <w:ind/>
              <w:jc w:val="center"/>
              <w:rPr>
                <w:color w:val="000000"/>
              </w:rPr>
            </w:pPr>
            <w:r>
              <w:rPr>
                <w:color w:val="000000"/>
              </w:rPr>
            </w:r>
            <w:r>
              <w:rPr>
                <w:color w:val="000000"/>
              </w:rPr>
            </w:r>
          </w:p>
        </w:tc>
        <w:tc>
          <w:tcPr>
            <w:tcBorders/>
            <w:tcW w:w="540" w:type="dxa"/>
            <w:vAlign w:val="center"/>
            <w:textDirection w:val="lrTb"/>
            <w:noWrap w:val="false"/>
          </w:tcPr>
          <w:p>
            <w:pPr>
              <w:pStyle w:val="796"/>
              <w:pBdr/>
              <w:spacing/>
              <w:ind/>
              <w:jc w:val="center"/>
              <w:rPr>
                <w:color w:val="000000"/>
              </w:rPr>
            </w:pPr>
            <w:r>
              <w:rPr>
                <w:color w:val="000000"/>
              </w:rPr>
              <w:t xml:space="preserve">17</w:t>
            </w:r>
            <w:r>
              <w:rPr>
                <w:color w:val="000000"/>
              </w:rPr>
            </w:r>
            <w:r>
              <w:rPr>
                <w:color w:val="000000"/>
              </w:rPr>
            </w:r>
          </w:p>
        </w:tc>
        <w:tc>
          <w:tcPr>
            <w:tcBorders/>
            <w:tcW w:w="3930" w:type="dxa"/>
            <w:vAlign w:val="center"/>
            <w:textDirection w:val="lrTb"/>
            <w:noWrap w:val="false"/>
          </w:tcPr>
          <w:p>
            <w:pPr>
              <w:pStyle w:val="796"/>
              <w:pBdr/>
              <w:spacing/>
              <w:ind/>
              <w:rPr>
                <w:color w:val="000000"/>
              </w:rPr>
            </w:pPr>
            <w:r>
              <w:rPr>
                <w:rFonts w:hint="eastAsia" w:cs="宋体"/>
                <w:color w:val="000000"/>
              </w:rPr>
              <w:t xml:space="preserve">地表水达到或好于</w:t>
            </w:r>
            <w:r>
              <w:rPr>
                <w:color w:val="000000"/>
              </w:rPr>
              <w:t xml:space="preserve">Ш</w:t>
            </w:r>
            <w:r>
              <w:rPr>
                <w:rFonts w:hint="eastAsia" w:cs="宋体"/>
                <w:color w:val="000000"/>
              </w:rPr>
              <w:t xml:space="preserve">类水体比例（</w:t>
            </w:r>
            <w:r>
              <w:rPr>
                <w:color w:val="000000"/>
              </w:rPr>
              <w:t xml:space="preserve">%</w:t>
            </w:r>
            <w:r>
              <w:rPr>
                <w:rFonts w:hint="eastAsia" w:cs="宋体"/>
                <w:color w:val="000000"/>
              </w:rPr>
              <w:t xml:space="preserve">）</w:t>
            </w:r>
            <w:r>
              <w:rPr>
                <w:color w:val="000000"/>
              </w:rPr>
            </w:r>
            <w:r>
              <w:rPr>
                <w:color w:val="000000"/>
              </w:rPr>
            </w:r>
          </w:p>
        </w:tc>
        <w:tc>
          <w:tcPr>
            <w:tcBorders/>
            <w:tcW w:w="1260" w:type="dxa"/>
            <w:vAlign w:val="center"/>
            <w:textDirection w:val="lrTb"/>
            <w:noWrap w:val="false"/>
          </w:tcPr>
          <w:p>
            <w:pPr>
              <w:pStyle w:val="796"/>
              <w:pBdr/>
              <w:spacing/>
              <w:ind/>
              <w:jc w:val="center"/>
              <w:rPr>
                <w:rFonts w:hint="eastAsia"/>
                <w:color w:val="000000"/>
              </w:rPr>
            </w:pPr>
            <w:r>
              <w:rPr>
                <w:rFonts w:hint="eastAsia"/>
                <w:color w:val="000000"/>
                <w:lang w:val="en-US"/>
              </w:rPr>
              <w:t xml:space="preserve">-</w:t>
            </w:r>
            <w:r>
              <w:rPr>
                <w:rFonts w:hint="eastAsia"/>
                <w:color w:val="000000"/>
              </w:rPr>
            </w:r>
            <w:r>
              <w:rPr>
                <w:rFonts w:hint="eastAsia"/>
                <w:color w:val="000000"/>
              </w:rPr>
            </w:r>
          </w:p>
        </w:tc>
        <w:tc>
          <w:tcPr>
            <w:tcBorders/>
            <w:tcW w:w="1305" w:type="dxa"/>
            <w:vAlign w:val="center"/>
            <w:textDirection w:val="lrTb"/>
            <w:noWrap w:val="false"/>
          </w:tcPr>
          <w:p>
            <w:pPr>
              <w:pStyle w:val="796"/>
              <w:pBdr/>
              <w:spacing/>
              <w:ind/>
              <w:jc w:val="center"/>
              <w:rPr>
                <w:rFonts w:hint="eastAsia"/>
                <w:color w:val="000000"/>
              </w:rPr>
            </w:pPr>
            <w:r>
              <w:rPr>
                <w:rFonts w:hint="eastAsia"/>
                <w:color w:val="000000"/>
              </w:rPr>
              <w:t xml:space="preserve">控制在省</w:t>
            </w:r>
            <w:r>
              <w:rPr>
                <w:rFonts w:hint="eastAsia"/>
                <w:color w:val="000000"/>
              </w:rPr>
            </w:r>
            <w:r>
              <w:rPr>
                <w:rFonts w:hint="eastAsia"/>
                <w:color w:val="000000"/>
              </w:rPr>
            </w:r>
          </w:p>
          <w:p>
            <w:pPr>
              <w:pStyle w:val="796"/>
              <w:pBdr/>
              <w:spacing/>
              <w:ind/>
              <w:jc w:val="center"/>
              <w:rPr>
                <w:color w:val="000000"/>
              </w:rPr>
            </w:pPr>
            <w:r>
              <w:rPr>
                <w:rFonts w:hint="eastAsia"/>
                <w:color w:val="000000"/>
              </w:rPr>
              <w:t xml:space="preserve">下达指标内</w:t>
            </w:r>
            <w:r>
              <w:rPr>
                <w:color w:val="000000"/>
              </w:rPr>
            </w:r>
            <w:r>
              <w:rPr>
                <w:color w:val="000000"/>
              </w:rPr>
            </w:r>
          </w:p>
        </w:tc>
        <w:tc>
          <w:tcPr>
            <w:tcBorders/>
            <w:tcW w:w="1320"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005" w:type="dxa"/>
            <w:vAlign w:val="center"/>
            <w:textDirection w:val="lrTb"/>
            <w:noWrap w:val="false"/>
          </w:tcPr>
          <w:p>
            <w:pPr>
              <w:pStyle w:val="796"/>
              <w:pBdr/>
              <w:spacing/>
              <w:ind/>
              <w:jc w:val="center"/>
              <w:rPr>
                <w:color w:val="000000"/>
              </w:rPr>
            </w:pPr>
            <w:r>
              <w:rPr>
                <w:rFonts w:hint="eastAsia" w:cs="宋体"/>
                <w:color w:val="000000"/>
              </w:rPr>
              <w:t xml:space="preserve">约束性</w:t>
            </w:r>
            <w:r>
              <w:rPr>
                <w:color w:val="000000"/>
              </w:rPr>
            </w:r>
            <w:r>
              <w:rPr>
                <w:color w:val="000000"/>
              </w:rPr>
            </w:r>
          </w:p>
        </w:tc>
      </w:tr>
      <w:tr>
        <w:trPr>
          <w:trHeight w:val="425"/>
        </w:trPr>
        <w:tc>
          <w:tcPr>
            <w:tcBorders/>
            <w:tcW w:w="675" w:type="dxa"/>
            <w:vAlign w:val="center"/>
            <w:vMerge w:val="continue"/>
            <w:textDirection w:val="lrTb"/>
            <w:noWrap w:val="false"/>
          </w:tcPr>
          <w:p>
            <w:pPr>
              <w:pStyle w:val="796"/>
              <w:pBdr/>
              <w:spacing/>
              <w:ind/>
              <w:jc w:val="center"/>
              <w:rPr>
                <w:color w:val="000000"/>
              </w:rPr>
            </w:pPr>
            <w:r>
              <w:rPr>
                <w:color w:val="000000"/>
              </w:rPr>
            </w:r>
            <w:r>
              <w:rPr>
                <w:color w:val="000000"/>
              </w:rPr>
            </w:r>
          </w:p>
        </w:tc>
        <w:tc>
          <w:tcPr>
            <w:tcBorders/>
            <w:tcW w:w="540" w:type="dxa"/>
            <w:vAlign w:val="center"/>
            <w:textDirection w:val="lrTb"/>
            <w:noWrap w:val="false"/>
          </w:tcPr>
          <w:p>
            <w:pPr>
              <w:pStyle w:val="796"/>
              <w:pBdr/>
              <w:spacing/>
              <w:ind/>
              <w:jc w:val="center"/>
              <w:rPr>
                <w:color w:val="000000"/>
              </w:rPr>
            </w:pPr>
            <w:r>
              <w:rPr>
                <w:color w:val="000000"/>
              </w:rPr>
              <w:t xml:space="preserve">18</w:t>
            </w:r>
            <w:r>
              <w:rPr>
                <w:color w:val="000000"/>
              </w:rPr>
            </w:r>
            <w:r>
              <w:rPr>
                <w:color w:val="000000"/>
              </w:rPr>
            </w:r>
          </w:p>
        </w:tc>
        <w:tc>
          <w:tcPr>
            <w:tcBorders/>
            <w:tcW w:w="3930" w:type="dxa"/>
            <w:vAlign w:val="center"/>
            <w:textDirection w:val="lrTb"/>
            <w:noWrap w:val="false"/>
          </w:tcPr>
          <w:p>
            <w:pPr>
              <w:pStyle w:val="796"/>
              <w:pBdr/>
              <w:spacing/>
              <w:ind/>
              <w:rPr>
                <w:color w:val="000000"/>
              </w:rPr>
            </w:pPr>
            <w:r>
              <w:rPr>
                <w:rFonts w:hint="eastAsia" w:cs="宋体"/>
                <w:color w:val="000000"/>
              </w:rPr>
              <w:t xml:space="preserve">森林覆盖率（</w:t>
            </w:r>
            <w:r>
              <w:rPr>
                <w:color w:val="000000"/>
              </w:rPr>
              <w:t xml:space="preserve">%</w:t>
            </w:r>
            <w:r>
              <w:rPr>
                <w:rFonts w:hint="eastAsia" w:cs="宋体"/>
                <w:color w:val="000000"/>
              </w:rPr>
              <w:t xml:space="preserve">）</w:t>
            </w:r>
            <w:r>
              <w:rPr>
                <w:color w:val="000000"/>
              </w:rPr>
            </w:r>
            <w:r>
              <w:rPr>
                <w:color w:val="000000"/>
              </w:rPr>
            </w:r>
          </w:p>
        </w:tc>
        <w:tc>
          <w:tcPr>
            <w:tcBorders/>
            <w:tcW w:w="1260" w:type="dxa"/>
            <w:vAlign w:val="center"/>
            <w:textDirection w:val="lrTb"/>
            <w:noWrap w:val="false"/>
          </w:tcPr>
          <w:p>
            <w:pPr>
              <w:pStyle w:val="796"/>
              <w:pBdr/>
              <w:spacing/>
              <w:ind/>
              <w:jc w:val="center"/>
              <w:rPr>
                <w:rFonts w:eastAsia="仿宋_GB2312"/>
                <w:color w:val="000000"/>
                <w:lang w:val="en-US" w:eastAsia="zh-CN"/>
              </w:rPr>
            </w:pPr>
            <w:r>
              <w:rPr>
                <w:rFonts w:hint="eastAsia"/>
                <w:color w:val="000000"/>
                <w:lang w:val="en-US"/>
              </w:rPr>
              <w:t xml:space="preserve">5</w:t>
            </w:r>
            <w:r>
              <w:rPr>
                <w:rFonts w:hint="eastAsia"/>
                <w:color w:val="000000"/>
                <w:lang w:val="en-US" w:eastAsia="zh-CN"/>
              </w:rPr>
              <w:t xml:space="preserve">2.9</w:t>
            </w:r>
            <w:r>
              <w:rPr>
                <w:rFonts w:eastAsia="仿宋_GB2312"/>
                <w:color w:val="000000"/>
                <w:lang w:val="en-US" w:eastAsia="zh-CN"/>
              </w:rPr>
            </w:r>
            <w:r>
              <w:rPr>
                <w:rFonts w:eastAsia="仿宋_GB2312"/>
                <w:color w:val="000000"/>
                <w:lang w:val="en-US" w:eastAsia="zh-CN"/>
              </w:rPr>
            </w:r>
          </w:p>
        </w:tc>
        <w:tc>
          <w:tcPr>
            <w:tcBorders/>
            <w:tcW w:w="1305" w:type="dxa"/>
            <w:vAlign w:val="center"/>
            <w:textDirection w:val="lrTb"/>
            <w:noWrap w:val="false"/>
          </w:tcPr>
          <w:p>
            <w:pPr>
              <w:pStyle w:val="796"/>
              <w:pBdr/>
              <w:spacing/>
              <w:ind/>
              <w:jc w:val="center"/>
              <w:rPr>
                <w:rFonts w:eastAsia="仿宋_GB2312"/>
                <w:color w:val="000000"/>
                <w:lang w:val="en-US" w:eastAsia="zh-CN"/>
              </w:rPr>
            </w:pPr>
            <w:r>
              <w:rPr>
                <w:rFonts w:hint="eastAsia"/>
                <w:color w:val="000000"/>
                <w:lang w:val="en-US"/>
              </w:rPr>
              <w:t xml:space="preserve">5</w:t>
            </w:r>
            <w:r>
              <w:rPr>
                <w:rFonts w:hint="eastAsia"/>
                <w:color w:val="000000"/>
                <w:lang w:val="en-US" w:eastAsia="zh-CN"/>
              </w:rPr>
              <w:t xml:space="preserve">3.4</w:t>
            </w:r>
            <w:r>
              <w:rPr>
                <w:rFonts w:eastAsia="仿宋_GB2312"/>
                <w:color w:val="000000"/>
                <w:lang w:val="en-US" w:eastAsia="zh-CN"/>
              </w:rPr>
            </w:r>
            <w:r>
              <w:rPr>
                <w:rFonts w:eastAsia="仿宋_GB2312"/>
                <w:color w:val="000000"/>
                <w:lang w:val="en-US" w:eastAsia="zh-CN"/>
              </w:rPr>
            </w:r>
          </w:p>
        </w:tc>
        <w:tc>
          <w:tcPr>
            <w:tcBorders/>
            <w:tcW w:w="1320" w:type="dxa"/>
            <w:vAlign w:val="center"/>
            <w:textDirection w:val="lrTb"/>
            <w:noWrap w:val="false"/>
          </w:tcPr>
          <w:p>
            <w:pPr>
              <w:pStyle w:val="796"/>
              <w:pBdr/>
              <w:spacing/>
              <w:ind/>
              <w:jc w:val="center"/>
              <w:rPr>
                <w:rFonts w:hint="eastAsia"/>
                <w:color w:val="000000"/>
              </w:rPr>
            </w:pPr>
            <w:r>
              <w:rPr>
                <w:rFonts w:hint="eastAsia"/>
                <w:color w:val="000000"/>
                <w:lang w:val="en-US"/>
              </w:rPr>
              <w:t xml:space="preserve">-</w:t>
            </w:r>
            <w:r>
              <w:rPr>
                <w:rFonts w:hint="eastAsia"/>
                <w:color w:val="000000"/>
              </w:rPr>
            </w:r>
            <w:r>
              <w:rPr>
                <w:rFonts w:hint="eastAsia"/>
                <w:color w:val="000000"/>
              </w:rPr>
            </w:r>
          </w:p>
        </w:tc>
        <w:tc>
          <w:tcPr>
            <w:tcBorders/>
            <w:tcW w:w="1005" w:type="dxa"/>
            <w:vAlign w:val="center"/>
            <w:textDirection w:val="lrTb"/>
            <w:noWrap w:val="false"/>
          </w:tcPr>
          <w:p>
            <w:pPr>
              <w:pStyle w:val="796"/>
              <w:pBdr/>
              <w:spacing/>
              <w:ind/>
              <w:jc w:val="center"/>
              <w:rPr>
                <w:color w:val="000000"/>
              </w:rPr>
            </w:pPr>
            <w:r>
              <w:rPr>
                <w:rFonts w:hint="eastAsia" w:cs="宋体"/>
                <w:color w:val="000000"/>
              </w:rPr>
              <w:t xml:space="preserve">约束性</w:t>
            </w:r>
            <w:r>
              <w:rPr>
                <w:color w:val="000000"/>
              </w:rPr>
            </w:r>
            <w:r>
              <w:rPr>
                <w:color w:val="000000"/>
              </w:rPr>
            </w:r>
          </w:p>
        </w:tc>
      </w:tr>
      <w:tr>
        <w:trPr>
          <w:trHeight w:val="401"/>
        </w:trPr>
        <w:tc>
          <w:tcPr>
            <w:tcBorders/>
            <w:tcW w:w="675" w:type="dxa"/>
            <w:vAlign w:val="center"/>
            <w:vMerge w:val="restart"/>
            <w:textDirection w:val="lrTb"/>
            <w:noWrap w:val="false"/>
          </w:tcPr>
          <w:p>
            <w:pPr>
              <w:pStyle w:val="796"/>
              <w:pBdr/>
              <w:spacing/>
              <w:ind/>
              <w:jc w:val="center"/>
              <w:rPr>
                <w:color w:val="000000"/>
              </w:rPr>
            </w:pPr>
            <w:r>
              <w:rPr>
                <w:rFonts w:hint="eastAsia" w:cs="宋体"/>
                <w:color w:val="000000"/>
              </w:rPr>
              <w:t xml:space="preserve">安全保障</w:t>
            </w:r>
            <w:r>
              <w:rPr>
                <w:color w:val="000000"/>
              </w:rPr>
            </w:r>
            <w:r>
              <w:rPr>
                <w:color w:val="000000"/>
              </w:rPr>
            </w:r>
          </w:p>
        </w:tc>
        <w:tc>
          <w:tcPr>
            <w:tcBorders/>
            <w:tcW w:w="540" w:type="dxa"/>
            <w:vAlign w:val="center"/>
            <w:textDirection w:val="lrTb"/>
            <w:noWrap w:val="false"/>
          </w:tcPr>
          <w:p>
            <w:pPr>
              <w:pStyle w:val="796"/>
              <w:pBdr/>
              <w:spacing/>
              <w:ind/>
              <w:jc w:val="center"/>
              <w:rPr>
                <w:color w:val="000000"/>
              </w:rPr>
            </w:pPr>
            <w:r>
              <w:rPr>
                <w:color w:val="000000"/>
              </w:rPr>
              <w:t xml:space="preserve">19</w:t>
            </w:r>
            <w:r>
              <w:rPr>
                <w:color w:val="000000"/>
              </w:rPr>
            </w:r>
            <w:r>
              <w:rPr>
                <w:color w:val="000000"/>
              </w:rPr>
            </w:r>
          </w:p>
        </w:tc>
        <w:tc>
          <w:tcPr>
            <w:tcBorders/>
            <w:tcW w:w="3930" w:type="dxa"/>
            <w:vAlign w:val="center"/>
            <w:textDirection w:val="lrTb"/>
            <w:noWrap w:val="false"/>
          </w:tcPr>
          <w:p>
            <w:pPr>
              <w:pStyle w:val="796"/>
              <w:pBdr/>
              <w:spacing/>
              <w:ind/>
              <w:rPr>
                <w:color w:val="000000"/>
              </w:rPr>
            </w:pPr>
            <w:r>
              <w:rPr>
                <w:rFonts w:hint="eastAsia" w:cs="宋体"/>
                <w:color w:val="000000"/>
              </w:rPr>
              <w:t xml:space="preserve">粮食综合生产能力（亿斤）</w:t>
            </w:r>
            <w:r>
              <w:rPr>
                <w:color w:val="000000"/>
              </w:rPr>
            </w:r>
            <w:r>
              <w:rPr>
                <w:color w:val="000000"/>
              </w:rPr>
            </w:r>
          </w:p>
        </w:tc>
        <w:tc>
          <w:tcPr>
            <w:tcBorders/>
            <w:tcW w:w="1260"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305" w:type="dxa"/>
            <w:vAlign w:val="center"/>
            <w:textDirection w:val="lrTb"/>
            <w:noWrap w:val="false"/>
          </w:tcPr>
          <w:p>
            <w:pPr>
              <w:pStyle w:val="796"/>
              <w:pBdr/>
              <w:spacing/>
              <w:ind/>
              <w:jc w:val="center"/>
              <w:rPr>
                <w:color w:val="000000"/>
                <w:lang w:val="en-US"/>
              </w:rPr>
            </w:pPr>
            <w:r>
              <w:rPr>
                <w:rFonts w:hint="eastAsia"/>
                <w:color w:val="000000"/>
              </w:rPr>
              <w:t xml:space="preserve">＞</w:t>
            </w:r>
            <w:r>
              <w:rPr>
                <w:rFonts w:hint="eastAsia"/>
                <w:color w:val="000000"/>
                <w:lang w:val="en-US"/>
              </w:rPr>
              <w:t xml:space="preserve">29</w:t>
            </w:r>
            <w:r>
              <w:rPr>
                <w:color w:val="000000"/>
                <w:lang w:val="en-US"/>
              </w:rPr>
            </w:r>
            <w:r>
              <w:rPr>
                <w:color w:val="000000"/>
                <w:lang w:val="en-US"/>
              </w:rPr>
            </w:r>
          </w:p>
        </w:tc>
        <w:tc>
          <w:tcPr>
            <w:tcBorders/>
            <w:tcW w:w="1320"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005" w:type="dxa"/>
            <w:vAlign w:val="center"/>
            <w:textDirection w:val="lrTb"/>
            <w:noWrap w:val="false"/>
          </w:tcPr>
          <w:p>
            <w:pPr>
              <w:pStyle w:val="796"/>
              <w:pBdr/>
              <w:spacing/>
              <w:ind/>
              <w:jc w:val="center"/>
              <w:rPr>
                <w:color w:val="000000"/>
              </w:rPr>
            </w:pPr>
            <w:r>
              <w:rPr>
                <w:rFonts w:hint="eastAsia" w:cs="宋体"/>
                <w:color w:val="000000"/>
              </w:rPr>
              <w:t xml:space="preserve">约束性</w:t>
            </w:r>
            <w:r>
              <w:rPr>
                <w:color w:val="000000"/>
              </w:rPr>
            </w:r>
            <w:r>
              <w:rPr>
                <w:color w:val="000000"/>
              </w:rPr>
            </w:r>
          </w:p>
        </w:tc>
      </w:tr>
      <w:tr>
        <w:trPr>
          <w:trHeight w:val="437"/>
        </w:trPr>
        <w:tc>
          <w:tcPr>
            <w:tcBorders/>
            <w:tcW w:w="675" w:type="dxa"/>
            <w:vAlign w:val="center"/>
            <w:vMerge w:val="continue"/>
            <w:textDirection w:val="lrTb"/>
            <w:noWrap w:val="false"/>
          </w:tcPr>
          <w:p>
            <w:pPr>
              <w:pStyle w:val="796"/>
              <w:pBdr/>
              <w:spacing/>
              <w:ind/>
              <w:jc w:val="center"/>
              <w:rPr>
                <w:color w:val="000000"/>
              </w:rPr>
            </w:pPr>
            <w:r>
              <w:rPr>
                <w:color w:val="000000"/>
              </w:rPr>
            </w:r>
            <w:r>
              <w:rPr>
                <w:color w:val="000000"/>
              </w:rPr>
            </w:r>
          </w:p>
        </w:tc>
        <w:tc>
          <w:tcPr>
            <w:tcBorders/>
            <w:tcW w:w="540" w:type="dxa"/>
            <w:vAlign w:val="center"/>
            <w:textDirection w:val="lrTb"/>
            <w:noWrap w:val="false"/>
          </w:tcPr>
          <w:p>
            <w:pPr>
              <w:pStyle w:val="796"/>
              <w:pBdr/>
              <w:spacing/>
              <w:ind/>
              <w:jc w:val="center"/>
              <w:rPr>
                <w:color w:val="000000"/>
              </w:rPr>
            </w:pPr>
            <w:r>
              <w:rPr>
                <w:color w:val="000000"/>
              </w:rPr>
              <w:t xml:space="preserve">20</w:t>
            </w:r>
            <w:r>
              <w:rPr>
                <w:color w:val="000000"/>
              </w:rPr>
            </w:r>
            <w:r>
              <w:rPr>
                <w:color w:val="000000"/>
              </w:rPr>
            </w:r>
          </w:p>
        </w:tc>
        <w:tc>
          <w:tcPr>
            <w:tcBorders/>
            <w:tcW w:w="3930" w:type="dxa"/>
            <w:vAlign w:val="center"/>
            <w:textDirection w:val="lrTb"/>
            <w:noWrap w:val="false"/>
          </w:tcPr>
          <w:p>
            <w:pPr>
              <w:pStyle w:val="796"/>
              <w:pBdr/>
              <w:spacing/>
              <w:ind/>
              <w:rPr>
                <w:color w:val="000000"/>
              </w:rPr>
            </w:pPr>
            <w:r>
              <w:rPr>
                <w:rFonts w:hint="eastAsia" w:cs="宋体"/>
                <w:color w:val="000000"/>
              </w:rPr>
              <w:t xml:space="preserve">能源综合生产能力（万吨标煤）</w:t>
            </w:r>
            <w:r>
              <w:rPr>
                <w:color w:val="000000"/>
              </w:rPr>
            </w:r>
            <w:r>
              <w:rPr>
                <w:color w:val="000000"/>
              </w:rPr>
            </w:r>
          </w:p>
        </w:tc>
        <w:tc>
          <w:tcPr>
            <w:tcBorders/>
            <w:tcW w:w="1260"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305" w:type="dxa"/>
            <w:vAlign w:val="center"/>
            <w:textDirection w:val="lrTb"/>
            <w:noWrap w:val="false"/>
          </w:tcPr>
          <w:p>
            <w:pPr>
              <w:pStyle w:val="796"/>
              <w:pBdr/>
              <w:spacing/>
              <w:ind/>
              <w:jc w:val="center"/>
              <w:rPr>
                <w:color w:val="000000"/>
                <w:lang w:val="en-US"/>
              </w:rPr>
            </w:pPr>
            <w:r>
              <w:rPr>
                <w:rFonts w:hint="eastAsia"/>
                <w:color w:val="000000"/>
                <w:lang w:val="en-US"/>
              </w:rPr>
              <w:t xml:space="preserve">230</w:t>
            </w:r>
            <w:r>
              <w:rPr>
                <w:color w:val="000000"/>
                <w:lang w:val="en-US"/>
              </w:rPr>
            </w:r>
            <w:r>
              <w:rPr>
                <w:color w:val="000000"/>
                <w:lang w:val="en-US"/>
              </w:rPr>
            </w:r>
          </w:p>
        </w:tc>
        <w:tc>
          <w:tcPr>
            <w:tcBorders/>
            <w:tcW w:w="1320" w:type="dxa"/>
            <w:vAlign w:val="center"/>
            <w:textDirection w:val="lrTb"/>
            <w:noWrap w:val="false"/>
          </w:tcPr>
          <w:p>
            <w:pPr>
              <w:pStyle w:val="796"/>
              <w:pBdr/>
              <w:spacing/>
              <w:ind/>
              <w:jc w:val="center"/>
              <w:rPr>
                <w:rFonts w:hint="eastAsia"/>
                <w:color w:val="000000"/>
                <w:lang w:val="en-US"/>
              </w:rPr>
            </w:pPr>
            <w:r>
              <w:rPr>
                <w:rFonts w:hint="eastAsia"/>
                <w:color w:val="000000"/>
                <w:lang w:val="en-US"/>
              </w:rPr>
              <w:t xml:space="preserve">-</w:t>
            </w:r>
            <w:r>
              <w:rPr>
                <w:rFonts w:hint="eastAsia"/>
                <w:color w:val="000000"/>
                <w:lang w:val="en-US"/>
              </w:rPr>
            </w:r>
            <w:r>
              <w:rPr>
                <w:rFonts w:hint="eastAsia"/>
                <w:color w:val="000000"/>
                <w:lang w:val="en-US"/>
              </w:rPr>
            </w:r>
          </w:p>
        </w:tc>
        <w:tc>
          <w:tcPr>
            <w:tcBorders/>
            <w:tcW w:w="1005" w:type="dxa"/>
            <w:vAlign w:val="center"/>
            <w:textDirection w:val="lrTb"/>
            <w:noWrap w:val="false"/>
          </w:tcPr>
          <w:p>
            <w:pPr>
              <w:pStyle w:val="796"/>
              <w:pBdr/>
              <w:spacing/>
              <w:ind/>
              <w:jc w:val="center"/>
              <w:rPr>
                <w:color w:val="000000"/>
              </w:rPr>
            </w:pPr>
            <w:r>
              <w:rPr>
                <w:rFonts w:hint="eastAsia" w:cs="宋体"/>
                <w:color w:val="000000"/>
              </w:rPr>
              <w:t xml:space="preserve">约束性</w:t>
            </w:r>
            <w:r>
              <w:rPr>
                <w:color w:val="000000"/>
              </w:rPr>
            </w:r>
            <w:r>
              <w:rPr>
                <w:color w:val="000000"/>
              </w:rPr>
            </w:r>
          </w:p>
        </w:tc>
      </w:tr>
    </w:tbl>
    <w:p>
      <w:pPr>
        <w:pStyle w:val="767"/>
        <w:pBdr/>
        <w:spacing/>
        <w:ind/>
        <w:rPr>
          <w:rFonts w:hint="eastAsia" w:eastAsia="仿宋_GB2312"/>
          <w:sz w:val="24"/>
          <w:szCs w:val="24"/>
          <w:lang w:val="en-US"/>
        </w:rPr>
      </w:pPr>
      <w:r>
        <w:rPr>
          <w:rFonts w:hint="eastAsia" w:eastAsia="仿宋_GB2312"/>
          <w:sz w:val="24"/>
          <w:szCs w:val="24"/>
        </w:rPr>
        <w:t xml:space="preserve">注：</w:t>
      </w:r>
      <w:r>
        <w:rPr>
          <w:rFonts w:hint="eastAsia" w:eastAsia="仿宋_GB2312"/>
          <w:sz w:val="24"/>
          <w:szCs w:val="24"/>
          <w:lang w:val="en-US"/>
        </w:rPr>
        <w:t xml:space="preserve">1、GDP增长率、全员劳动生产率、居民人均可支配收入增长率按2020年可比价计算。</w:t>
      </w:r>
      <w:r>
        <w:rPr>
          <w:rFonts w:hint="eastAsia" w:eastAsia="仿宋_GB2312"/>
          <w:sz w:val="24"/>
          <w:szCs w:val="24"/>
          <w:lang w:val="en-US"/>
        </w:rPr>
      </w:r>
      <w:r>
        <w:rPr>
          <w:rFonts w:hint="eastAsia" w:eastAsia="仿宋_GB2312"/>
          <w:sz w:val="24"/>
          <w:szCs w:val="24"/>
          <w:lang w:val="en-US"/>
        </w:rPr>
      </w:r>
    </w:p>
    <w:p>
      <w:pPr>
        <w:pStyle w:val="767"/>
        <w:pBdr/>
        <w:spacing/>
        <w:ind/>
        <w:rPr>
          <w:rFonts w:hint="eastAsia" w:eastAsia="仿宋_GB2312"/>
          <w:sz w:val="24"/>
          <w:szCs w:val="24"/>
          <w:lang w:val="en-US"/>
        </w:rPr>
      </w:pPr>
      <w:r>
        <w:rPr>
          <w:rFonts w:hint="eastAsia" w:eastAsia="仿宋_GB2312"/>
          <w:sz w:val="24"/>
          <w:szCs w:val="24"/>
          <w:lang w:val="en-US"/>
        </w:rPr>
        <w:t xml:space="preserve">    2、【】内为累计数。</w:t>
      </w:r>
      <w:r>
        <w:rPr>
          <w:rFonts w:hint="eastAsia" w:eastAsia="仿宋_GB2312"/>
          <w:sz w:val="24"/>
          <w:szCs w:val="24"/>
          <w:lang w:val="en-US"/>
        </w:rPr>
      </w:r>
      <w:r>
        <w:rPr>
          <w:rFonts w:hint="eastAsia" w:eastAsia="仿宋_GB2312"/>
          <w:sz w:val="24"/>
          <w:szCs w:val="24"/>
          <w:lang w:val="en-US"/>
        </w:rPr>
      </w:r>
    </w:p>
    <w:p>
      <w:pPr>
        <w:pStyle w:val="792"/>
        <w:pBdr/>
        <w:spacing/>
        <w:ind w:firstLine="480"/>
        <w:rPr>
          <w:color w:val="000000"/>
        </w:rPr>
      </w:pPr>
      <w:r>
        <w:rPr>
          <w:color w:val="000000"/>
        </w:rPr>
      </w:r>
      <w:r>
        <w:rPr>
          <w:color w:val="000000"/>
        </w:rPr>
      </w:r>
    </w:p>
    <w:p>
      <w:pPr>
        <w:pStyle w:val="737"/>
        <w:pBdr/>
        <w:spacing/>
        <w:ind w:firstLine="640"/>
        <w:rPr>
          <w:color w:val="000000"/>
        </w:rPr>
      </w:pPr>
      <w:r>
        <w:rPr>
          <w:color w:val="000000"/>
        </w:rPr>
      </w:r>
      <w:r>
        <w:rPr>
          <w:color w:val="000000"/>
        </w:rPr>
      </w:r>
    </w:p>
    <w:p>
      <w:pPr>
        <w:pStyle w:val="792"/>
        <w:pBdr/>
        <w:spacing/>
        <w:ind w:firstLine="480"/>
        <w:rPr>
          <w:color w:val="000000"/>
        </w:rPr>
      </w:pPr>
      <w:r>
        <w:rPr>
          <w:color w:val="000000"/>
        </w:rPr>
      </w:r>
      <w:r>
        <w:rPr>
          <w:color w:val="000000"/>
        </w:rPr>
      </w:r>
    </w:p>
    <w:p>
      <w:pPr>
        <w:pStyle w:val="737"/>
        <w:pBdr/>
        <w:spacing/>
        <w:ind w:firstLine="640"/>
        <w:rPr>
          <w:color w:val="000000"/>
        </w:rPr>
      </w:pPr>
      <w:r>
        <w:rPr>
          <w:color w:val="000000"/>
        </w:rPr>
      </w:r>
      <w:r>
        <w:rPr>
          <w:color w:val="000000"/>
        </w:rPr>
      </w:r>
    </w:p>
    <w:p>
      <w:pPr>
        <w:pStyle w:val="737"/>
        <w:pBdr/>
        <w:spacing/>
        <w:ind w:firstLine="640"/>
        <w:rPr>
          <w:rFonts w:hint="eastAsia"/>
          <w:color w:val="000000"/>
        </w:rPr>
      </w:pPr>
      <w:r>
        <w:rPr>
          <w:rFonts w:hint="eastAsia"/>
          <w:color w:val="000000"/>
        </w:rPr>
      </w:r>
      <w:r>
        <w:rPr>
          <w:rFonts w:hint="eastAsia"/>
          <w:color w:val="000000"/>
        </w:rPr>
      </w:r>
    </w:p>
    <w:p>
      <w:pPr>
        <w:pStyle w:val="745"/>
        <w:pBdr/>
        <w:spacing/>
        <w:ind w:firstLine="640" w:left="640"/>
        <w:rPr>
          <w:rFonts w:hint="eastAsia"/>
          <w:color w:val="000000"/>
        </w:rPr>
      </w:pPr>
      <w:r>
        <w:rPr>
          <w:rFonts w:hint="eastAsia"/>
          <w:color w:val="000000"/>
        </w:rPr>
      </w:r>
      <w:r>
        <w:rPr>
          <w:rFonts w:hint="eastAsia"/>
          <w:color w:val="000000"/>
        </w:rPr>
      </w:r>
    </w:p>
    <w:p>
      <w:pPr>
        <w:pStyle w:val="737"/>
        <w:pBdr/>
        <w:spacing/>
        <w:ind w:firstLine="640"/>
        <w:rPr>
          <w:rFonts w:hint="eastAsia"/>
          <w:color w:val="000000"/>
        </w:rPr>
      </w:pPr>
      <w:r>
        <w:rPr>
          <w:rFonts w:hint="eastAsia"/>
          <w:color w:val="000000"/>
        </w:rPr>
      </w:r>
      <w:r>
        <w:rPr>
          <w:rFonts w:hint="eastAsia"/>
          <w:color w:val="000000"/>
        </w:rPr>
      </w:r>
    </w:p>
    <w:p>
      <w:pPr>
        <w:pStyle w:val="745"/>
        <w:pBdr/>
        <w:spacing/>
        <w:ind w:firstLine="640" w:left="640"/>
        <w:rPr>
          <w:rFonts w:hint="eastAsia"/>
        </w:rPr>
      </w:pPr>
      <w:r>
        <w:rPr>
          <w:rFonts w:hint="eastAsia"/>
        </w:rPr>
      </w:r>
      <w:r>
        <w:rPr>
          <w:rFonts w:hint="eastAsia"/>
        </w:rPr>
      </w:r>
    </w:p>
    <w:p>
      <w:pPr>
        <w:pStyle w:val="738"/>
        <w:pBdr/>
        <w:spacing/>
        <w:ind/>
        <w:rPr>
          <w:rFonts w:hint="eastAsia" w:eastAsia="方正小标宋简体" w:cs="方正小标宋简体"/>
          <w:b w:val="0"/>
          <w:bCs w:val="0"/>
          <w:color w:val="000000"/>
          <w:sz w:val="36"/>
          <w:szCs w:val="36"/>
        </w:rPr>
      </w:pPr>
      <w:r/>
      <w:bookmarkStart w:id="24" w:name="_Toc303"/>
      <w:r>
        <w:rPr>
          <w:rFonts w:hint="eastAsia" w:eastAsia="方正小标宋简体" w:cs="方正小标宋简体"/>
          <w:b w:val="0"/>
          <w:bCs w:val="0"/>
          <w:color w:val="000000"/>
          <w:sz w:val="36"/>
          <w:szCs w:val="36"/>
        </w:rPr>
      </w:r>
      <w:r>
        <w:rPr>
          <w:rFonts w:hint="eastAsia" w:eastAsia="方正小标宋简体" w:cs="方正小标宋简体"/>
          <w:b w:val="0"/>
          <w:bCs w:val="0"/>
          <w:color w:val="000000"/>
          <w:sz w:val="36"/>
          <w:szCs w:val="36"/>
        </w:rPr>
      </w:r>
    </w:p>
    <w:p>
      <w:pPr>
        <w:pStyle w:val="738"/>
        <w:pBdr/>
        <w:spacing/>
        <w:ind/>
        <w:rPr>
          <w:rFonts w:hint="eastAsia" w:eastAsia="方正小标宋简体" w:cs="方正小标宋简体"/>
          <w:b w:val="0"/>
          <w:bCs w:val="0"/>
          <w:color w:val="000000"/>
          <w:sz w:val="36"/>
          <w:szCs w:val="36"/>
        </w:rPr>
      </w:pPr>
      <w:r>
        <w:rPr>
          <w:rFonts w:hint="eastAsia" w:eastAsia="方正小标宋简体" w:cs="方正小标宋简体"/>
          <w:b w:val="0"/>
          <w:bCs w:val="0"/>
          <w:color w:val="000000"/>
          <w:sz w:val="36"/>
          <w:szCs w:val="36"/>
        </w:rPr>
      </w:r>
      <w:r>
        <w:rPr>
          <w:rFonts w:hint="eastAsia" w:eastAsia="方正小标宋简体" w:cs="方正小标宋简体"/>
          <w:b w:val="0"/>
          <w:bCs w:val="0"/>
          <w:color w:val="000000"/>
          <w:sz w:val="36"/>
          <w:szCs w:val="36"/>
        </w:rPr>
      </w:r>
    </w:p>
    <w:p>
      <w:pPr>
        <w:pStyle w:val="738"/>
        <w:pBdr/>
        <w:spacing/>
        <w:ind/>
        <w:rPr>
          <w:rFonts w:eastAsia="方正小标宋简体"/>
          <w:b w:val="0"/>
          <w:bCs w:val="0"/>
          <w:color w:val="000000"/>
          <w:sz w:val="36"/>
          <w:szCs w:val="36"/>
        </w:rPr>
      </w:pPr>
      <w:r>
        <w:rPr>
          <w:rFonts w:hint="eastAsia" w:eastAsia="方正小标宋简体" w:cs="方正小标宋简体"/>
          <w:b w:val="0"/>
          <w:bCs w:val="0"/>
          <w:color w:val="000000"/>
          <w:sz w:val="36"/>
          <w:szCs w:val="36"/>
        </w:rPr>
        <w:t xml:space="preserve">第二章</w:t>
      </w:r>
      <w:r>
        <w:rPr>
          <w:rFonts w:eastAsia="方正小标宋简体"/>
          <w:b w:val="0"/>
          <w:bCs w:val="0"/>
          <w:color w:val="000000"/>
          <w:sz w:val="36"/>
          <w:szCs w:val="36"/>
        </w:rPr>
        <w:t xml:space="preserve"> </w:t>
      </w:r>
      <w:r>
        <w:rPr>
          <w:rFonts w:hint="eastAsia" w:eastAsia="方正小标宋简体" w:cs="方正小标宋简体"/>
          <w:b w:val="0"/>
          <w:bCs w:val="0"/>
          <w:color w:val="000000"/>
          <w:sz w:val="36"/>
          <w:szCs w:val="36"/>
        </w:rPr>
        <w:t xml:space="preserve">坚持创新驱动发展</w:t>
      </w:r>
      <w:r>
        <w:rPr>
          <w:rFonts w:eastAsia="方正小标宋简体"/>
          <w:b w:val="0"/>
          <w:bCs w:val="0"/>
          <w:color w:val="000000"/>
          <w:sz w:val="36"/>
          <w:szCs w:val="36"/>
        </w:rPr>
        <w:t xml:space="preserve"> </w:t>
      </w:r>
      <w:r>
        <w:rPr>
          <w:rFonts w:hint="eastAsia" w:eastAsia="方正小标宋简体" w:cs="方正小标宋简体"/>
          <w:b w:val="0"/>
          <w:bCs w:val="0"/>
          <w:color w:val="000000"/>
          <w:sz w:val="36"/>
          <w:szCs w:val="36"/>
        </w:rPr>
        <w:t xml:space="preserve">建设创新型城市</w:t>
      </w:r>
      <w:bookmarkEnd w:id="24"/>
      <w:r>
        <w:rPr>
          <w:rFonts w:eastAsia="方正小标宋简体"/>
          <w:b w:val="0"/>
          <w:bCs w:val="0"/>
          <w:color w:val="000000"/>
          <w:sz w:val="36"/>
          <w:szCs w:val="36"/>
        </w:rPr>
      </w:r>
      <w:r>
        <w:rPr>
          <w:rFonts w:eastAsia="方正小标宋简体"/>
          <w:b w:val="0"/>
          <w:bCs w:val="0"/>
          <w:color w:val="000000"/>
          <w:sz w:val="36"/>
          <w:szCs w:val="36"/>
        </w:rPr>
      </w:r>
    </w:p>
    <w:p>
      <w:pPr>
        <w:pStyle w:val="737"/>
        <w:pBdr/>
        <w:spacing/>
        <w:ind w:firstLine="640"/>
        <w:rPr>
          <w:color w:val="000000"/>
        </w:rPr>
      </w:pPr>
      <w:r>
        <w:rPr>
          <w:color w:val="000000"/>
        </w:rPr>
      </w:r>
      <w:r>
        <w:rPr>
          <w:color w:val="000000"/>
        </w:rPr>
      </w:r>
    </w:p>
    <w:p>
      <w:pPr>
        <w:pStyle w:val="737"/>
        <w:pBdr/>
        <w:spacing/>
        <w:ind w:firstLine="640"/>
        <w:rPr>
          <w:color w:val="000000"/>
        </w:rPr>
      </w:pPr>
      <w:r>
        <w:rPr>
          <w:rFonts w:hint="eastAsia" w:cs="仿宋_GB2312"/>
          <w:color w:val="000000"/>
        </w:rPr>
        <w:t xml:space="preserve">坚持把创新摆在事关发展全局的核心位置，更多依靠创新驱动壮大实力、提升特色，形成推动随州跨越发展的特色竞争力和特色新动力，加快建设</w:t>
      </w:r>
      <w:r>
        <w:rPr>
          <w:rFonts w:hint="eastAsia" w:hAnsi="仿宋" w:cs="仿宋"/>
          <w:color w:val="000000"/>
        </w:rPr>
        <w:t xml:space="preserve">全省重要的创新型城市</w:t>
      </w:r>
      <w:r>
        <w:rPr>
          <w:rFonts w:hint="eastAsia" w:cs="仿宋_GB2312"/>
          <w:color w:val="000000"/>
        </w:rPr>
        <w:t xml:space="preserve">。</w:t>
      </w:r>
      <w:r>
        <w:rPr>
          <w:color w:val="000000"/>
        </w:rPr>
      </w:r>
      <w:r>
        <w:rPr>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bookmarkStart w:id="25" w:name="_Toc20395"/>
      <w:r>
        <w:rPr>
          <w:rFonts w:hint="eastAsia" w:ascii="黑体" w:hAnsi="黑体" w:eastAsia="黑体" w:cs="黑体"/>
          <w:b w:val="0"/>
          <w:bCs w:val="0"/>
          <w:color w:val="000000"/>
        </w:rPr>
        <w:t xml:space="preserve">一、提升企业主体创新能力</w:t>
      </w:r>
      <w:bookmarkEnd w:id="25"/>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加大科技企业培育力度</w:t>
      </w:r>
      <w:r>
        <w:rPr>
          <w:rFonts w:hint="eastAsia" w:cs="仿宋_GB2312"/>
          <w:b/>
          <w:bCs/>
          <w:color w:val="000000"/>
        </w:rPr>
        <w:t xml:space="preserve">。</w:t>
      </w:r>
      <w:r>
        <w:rPr>
          <w:rFonts w:hint="eastAsia" w:cs="仿宋_GB2312"/>
          <w:color w:val="000000"/>
        </w:rPr>
        <w:t xml:space="preserve">深入实施</w:t>
      </w:r>
      <w:r>
        <w:rPr>
          <w:color w:val="000000"/>
        </w:rPr>
        <w:t xml:space="preserve">“</w:t>
      </w:r>
      <w:r>
        <w:rPr>
          <w:rFonts w:hint="eastAsia" w:cs="仿宋_GB2312"/>
          <w:color w:val="000000"/>
        </w:rPr>
        <w:t xml:space="preserve">高新技术企业成长工程</w:t>
      </w:r>
      <w:r>
        <w:rPr>
          <w:color w:val="000000"/>
        </w:rPr>
        <w:t xml:space="preserve">”</w:t>
      </w:r>
      <w:r>
        <w:rPr>
          <w:rFonts w:hint="eastAsia" w:cs="仿宋_GB2312"/>
          <w:color w:val="000000"/>
        </w:rPr>
        <w:t xml:space="preserve">，在全市选择一批科技型企业，对照高新技术企业认定标准，采取“一企一策”精准扶持，大力培育高新技术企业，</w:t>
      </w:r>
      <w:r>
        <w:rPr>
          <w:color w:val="000000"/>
        </w:rPr>
        <w:t xml:space="preserve">“</w:t>
      </w:r>
      <w:r>
        <w:rPr>
          <w:rFonts w:hint="eastAsia" w:cs="仿宋_GB2312"/>
          <w:color w:val="000000"/>
        </w:rPr>
        <w:t xml:space="preserve">十四五</w:t>
      </w:r>
      <w:r>
        <w:rPr>
          <w:color w:val="000000"/>
        </w:rPr>
        <w:t xml:space="preserve">”</w:t>
      </w:r>
      <w:r>
        <w:rPr>
          <w:rFonts w:hint="eastAsia" w:cs="仿宋_GB2312"/>
          <w:color w:val="000000"/>
        </w:rPr>
        <w:t xml:space="preserve">期间每年认定高新技术企业</w:t>
      </w:r>
      <w:r>
        <w:rPr>
          <w:color w:val="000000"/>
        </w:rPr>
        <w:t xml:space="preserve">30</w:t>
      </w:r>
      <w:r>
        <w:rPr>
          <w:rFonts w:hint="eastAsia" w:cs="仿宋_GB2312"/>
          <w:color w:val="000000"/>
        </w:rPr>
        <w:t xml:space="preserve">家以上。大力扶持科技型中小微企业健康快速发展，有效提升科技企业孵化器、众创空间、星创天地等创新创业载体孵化服务功能。积极落实支持创新创业税收优惠政策，着力优化创新创业环境，加快培育一批科技型企业。</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推进关键共性技术突破</w:t>
      </w:r>
      <w:r>
        <w:rPr>
          <w:rFonts w:hint="eastAsia" w:cs="仿宋_GB2312"/>
          <w:b/>
          <w:bCs/>
          <w:color w:val="000000"/>
        </w:rPr>
        <w:t xml:space="preserve">。</w:t>
      </w:r>
      <w:r>
        <w:rPr>
          <w:rFonts w:hint="eastAsia" w:cs="仿宋_GB2312"/>
          <w:color w:val="000000"/>
        </w:rPr>
        <w:t xml:space="preserve">加强关键共性技术研究，在专用汽车、农产品加工、风机制造、能源化工、特种装备、生物医药、新能源等领域研究制定产业技术路线图，找准技术瓶颈，开展重大科技攻关。加强互联网与产业发展跨界融合，促进技术创新，推进智能制造、绿色制造技术体系建设，构建完善的产业创新链，提升产业创新发展水平和产业核心竞争力。鼓励我市特色优势产业的重点企业与外部科研院所开展技术交流合作，建设区域性技术合作交流中心。加快创新产品推广应用，争取更多企业产品纳入《湖北省首台（套）重大技术装备推广应用指导目录》。</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促进科技成果转化</w:t>
      </w:r>
      <w:r>
        <w:rPr>
          <w:rFonts w:hint="eastAsia" w:cs="仿宋_GB2312"/>
          <w:b/>
          <w:bCs/>
          <w:color w:val="000000"/>
        </w:rPr>
        <w:t xml:space="preserve">。</w:t>
      </w:r>
      <w:r>
        <w:rPr>
          <w:rFonts w:hint="eastAsia" w:cs="仿宋_GB2312"/>
          <w:color w:val="000000"/>
        </w:rPr>
        <w:t xml:space="preserve">提高“钱变纸”“纸变钱”能力。加强科技成果转移转化服务体系建设，围绕我市特色优势产业发展，加快推进技术转移服务平台建设，实现科技要素市场化配置。加快培育科技成果转化专业人才队伍，争取实现市域全覆盖。支持有条件的研发机构建设科技成果转化中试熟化基地，承担科技成果中间试验和系统化、配套化、工程化、产品化研发，提高科技成果转化成功率。加强与湖北省</w:t>
      </w:r>
      <w:r>
        <w:rPr>
          <w:color w:val="000000"/>
        </w:rPr>
        <w:t xml:space="preserve">“</w:t>
      </w:r>
      <w:r>
        <w:rPr>
          <w:rFonts w:hint="eastAsia" w:cs="仿宋_GB2312"/>
          <w:color w:val="000000"/>
        </w:rPr>
        <w:t xml:space="preserve">科惠网</w:t>
      </w:r>
      <w:r>
        <w:rPr>
          <w:color w:val="000000"/>
        </w:rPr>
        <w:t xml:space="preserve">”</w:t>
      </w:r>
      <w:r>
        <w:rPr>
          <w:rFonts w:hint="eastAsia" w:cs="仿宋_GB2312"/>
          <w:color w:val="000000"/>
        </w:rPr>
        <w:t xml:space="preserve">等平台机构的联系对接，积极参与构建集展示、交易、共享、服务、交流</w:t>
      </w:r>
      <w:r>
        <w:rPr>
          <w:color w:val="000000"/>
        </w:rPr>
        <w:t xml:space="preserve">“</w:t>
      </w:r>
      <w:r>
        <w:rPr>
          <w:rFonts w:hint="eastAsia" w:cs="仿宋_GB2312"/>
          <w:color w:val="000000"/>
        </w:rPr>
        <w:t xml:space="preserve">五位一体</w:t>
      </w:r>
      <w:r>
        <w:rPr>
          <w:color w:val="000000"/>
        </w:rPr>
        <w:t xml:space="preserve">”</w:t>
      </w:r>
      <w:r>
        <w:rPr>
          <w:rFonts w:hint="eastAsia" w:cs="仿宋_GB2312"/>
          <w:color w:val="000000"/>
        </w:rPr>
        <w:t xml:space="preserve">的网上技术交易平台，开展线上线下相结合的技术交易活动，力争</w:t>
      </w:r>
      <w:r>
        <w:rPr>
          <w:color w:val="000000"/>
        </w:rPr>
        <w:t xml:space="preserve">“</w:t>
      </w:r>
      <w:r>
        <w:rPr>
          <w:rFonts w:hint="eastAsia" w:cs="仿宋_GB2312"/>
          <w:color w:val="000000"/>
        </w:rPr>
        <w:t xml:space="preserve">十四五</w:t>
      </w:r>
      <w:r>
        <w:rPr>
          <w:color w:val="000000"/>
        </w:rPr>
        <w:t xml:space="preserve">”</w:t>
      </w:r>
      <w:r>
        <w:rPr>
          <w:rFonts w:hint="eastAsia" w:cs="仿宋_GB2312"/>
          <w:color w:val="000000"/>
        </w:rPr>
        <w:t xml:space="preserve">期间转化科技成果</w:t>
      </w:r>
      <w:r>
        <w:rPr>
          <w:color w:val="000000"/>
        </w:rPr>
        <w:t xml:space="preserve">100</w:t>
      </w:r>
      <w:r>
        <w:rPr>
          <w:rFonts w:hint="eastAsia" w:cs="仿宋_GB2312"/>
          <w:color w:val="000000"/>
        </w:rPr>
        <w:t xml:space="preserve">项以上。</w:t>
      </w:r>
      <w:r>
        <w:rPr>
          <w:color w:val="000000"/>
        </w:rPr>
      </w:r>
      <w:r>
        <w:rPr>
          <w:color w:val="000000"/>
        </w:rPr>
      </w:r>
    </w:p>
    <w:p>
      <w:pPr>
        <w:pStyle w:val="792"/>
        <w:pBdr/>
        <w:spacing/>
        <w:ind w:firstLine="0"/>
        <w:rPr>
          <w:rFonts w:hint="eastAsia"/>
          <w:color w:val="000000"/>
        </w:rPr>
      </w:pPr>
      <w:r/>
      <w:bookmarkStart w:id="26" w:name="_Toc8111"/>
      <w:r>
        <w:rPr>
          <w:rFonts w:hint="eastAsia"/>
          <w:color w:val="000000"/>
        </w:rPr>
      </w:r>
      <w:r>
        <w:rPr>
          <w:rFonts w:hint="eastAsia"/>
          <w:color w:val="000000"/>
        </w:rPr>
      </w:r>
    </w:p>
    <w:p>
      <w:pPr>
        <w:pStyle w:val="739"/>
        <w:pBdr/>
        <w:spacing/>
        <w:ind w:firstLine="720"/>
        <w:rPr>
          <w:rFonts w:hint="eastAsia" w:ascii="黑体" w:hAnsi="黑体" w:eastAsia="黑体" w:cs="黑体"/>
          <w:b w:val="0"/>
          <w:bCs w:val="0"/>
          <w:color w:val="000000"/>
        </w:rPr>
      </w:pPr>
      <w:r/>
      <w:bookmarkStart w:id="27" w:name="_Toc27682"/>
      <w:r>
        <w:rPr>
          <w:rFonts w:hint="eastAsia" w:ascii="黑体" w:hAnsi="黑体" w:eastAsia="黑体" w:cs="黑体"/>
          <w:b w:val="0"/>
          <w:bCs w:val="0"/>
          <w:color w:val="000000"/>
        </w:rPr>
        <w:t xml:space="preserve">二、强化科技创新平台建设</w:t>
      </w:r>
      <w:bookmarkEnd w:id="26"/>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加强创新平台培育认定。</w:t>
      </w:r>
      <w:r>
        <w:rPr>
          <w:rFonts w:hint="eastAsia" w:cs="仿宋_GB2312"/>
          <w:color w:val="000000"/>
        </w:rPr>
        <w:t xml:space="preserve">围绕专汽、香菇、风机等重点产业和关键环节，推进高水平创新平台建设。对规模以上工业企业研发机构建设进行梯次培育，引导县市区和随州高新区开展县（市、区）级研发机构备案。积极组织开展传统型研发机构和新型研发机构建设，力争到</w:t>
      </w:r>
      <w:r>
        <w:rPr>
          <w:color w:val="000000"/>
        </w:rPr>
        <w:t xml:space="preserve">2025</w:t>
      </w:r>
      <w:r>
        <w:rPr>
          <w:rFonts w:hint="eastAsia" w:cs="仿宋_GB2312"/>
          <w:color w:val="000000"/>
        </w:rPr>
        <w:t xml:space="preserve">年，全市创建市级以上创新平台数量突破</w:t>
      </w:r>
      <w:r>
        <w:rPr>
          <w:color w:val="000000"/>
        </w:rPr>
        <w:t xml:space="preserve">230</w:t>
      </w:r>
      <w:r>
        <w:rPr>
          <w:rFonts w:hint="eastAsia" w:cs="仿宋_GB2312"/>
          <w:color w:val="000000"/>
        </w:rPr>
        <w:t xml:space="preserve">家，规模以上工业企业建立研发机构的比例达到</w:t>
      </w:r>
      <w:r>
        <w:rPr>
          <w:rFonts w:hint="eastAsia"/>
          <w:color w:val="000000"/>
          <w:lang w:val="en-US"/>
        </w:rPr>
        <w:t xml:space="preserve">4</w:t>
      </w:r>
      <w:r>
        <w:rPr>
          <w:color w:val="000000"/>
        </w:rPr>
        <w:t xml:space="preserve">0%</w:t>
      </w:r>
      <w:r>
        <w:rPr>
          <w:rFonts w:hint="eastAsia" w:cs="仿宋_GB2312"/>
          <w:color w:val="000000"/>
        </w:rPr>
        <w:t xml:space="preserve">以上。</w:t>
      </w:r>
      <w:r>
        <w:rPr>
          <w:rFonts w:hint="eastAsia" w:cs="仿宋_GB2312"/>
          <w:color w:val="000000"/>
        </w:rPr>
      </w:r>
      <w:r>
        <w:rPr>
          <w:rFonts w:hint="eastAsia" w:cs="仿宋_GB2312"/>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推进创新平台转型升级</w:t>
      </w:r>
      <w:r>
        <w:rPr>
          <w:rFonts w:hint="eastAsia" w:cs="仿宋_GB2312"/>
          <w:b/>
          <w:bCs/>
          <w:color w:val="000000"/>
        </w:rPr>
        <w:t xml:space="preserve">。</w:t>
      </w:r>
      <w:r>
        <w:rPr>
          <w:rFonts w:hint="eastAsia"/>
          <w:color w:val="000000"/>
        </w:rPr>
        <w:t xml:space="preserve">发挥随州高新区作为国家高新技术产业开发区的高能级科技资源载体作用，大力集聚高等院校、科研院所等创新资源，高标准构建一流创新生态，积极搭建产学研创新平台，促进科技成果转化，激发产业链与创新链深度融合，形成“乘数效应”。</w:t>
      </w:r>
      <w:r>
        <w:rPr>
          <w:rFonts w:hint="eastAsia" w:cs="仿宋_GB2312"/>
          <w:color w:val="000000"/>
        </w:rPr>
        <w:t xml:space="preserve">加快产学研深度合作，推进省内外高校院所与我市开展校地、校企合作，共建新型产业技术研究院。以现有创新能力较强的泰晶科技、齐星集团、程力集团、毅兴智能、三峰透平、犇星新材料、金龙新材料等创新平台为重点，抓好定向培育工作，积极培育各类创新平台。支持引导科技型企业独立或联合高等院校、科研院所开展技术攻关，进一步加快推进产学研深度融合，建立各类创新平台，有效解决企业建设研发平台的人才、技术瓶颈问题，激发企业创新活力。</w:t>
      </w:r>
      <w:r>
        <w:rPr>
          <w:rFonts w:hint="eastAsia" w:cs="仿宋_GB2312"/>
          <w:color w:val="000000"/>
        </w:rPr>
      </w:r>
      <w:r>
        <w:rPr>
          <w:rFonts w:hint="eastAsia" w:cs="仿宋_GB2312"/>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提升创新平台运营质效</w:t>
      </w:r>
      <w:r>
        <w:rPr>
          <w:rFonts w:hint="eastAsia" w:cs="仿宋_GB2312"/>
          <w:b/>
          <w:bCs/>
          <w:color w:val="000000"/>
        </w:rPr>
        <w:t xml:space="preserve">。</w:t>
      </w:r>
      <w:r>
        <w:rPr>
          <w:rFonts w:hint="eastAsia" w:cs="仿宋_GB2312"/>
          <w:color w:val="000000"/>
        </w:rPr>
        <w:t xml:space="preserve">推进创新平台高标准建设和差异化、精细化管理，加快构建结构合理、分类科学、运转高效的绩效评价体系，定期开展创新平台绩效考核和动态管理，不断提升创新平台运营质效。激励孵化器和众创空间提升创新创业公共服务和运营管理能力，引导“双创”平台向专业化、精细化发展，着力打造“双创”升级版。</w:t>
      </w:r>
      <w:r>
        <w:rPr>
          <w:color w:val="000000"/>
        </w:rPr>
      </w:r>
      <w:r>
        <w:rPr>
          <w:color w:val="000000"/>
        </w:rPr>
      </w:r>
    </w:p>
    <w:p>
      <w:pPr>
        <w:pStyle w:val="792"/>
        <w:pBdr/>
        <w:spacing/>
        <w:ind w:firstLine="480"/>
        <w:rPr>
          <w:rFonts w:hint="eastAsia"/>
          <w:color w:val="000000"/>
        </w:rPr>
      </w:pPr>
      <w:r>
        <w:rPr>
          <w:rFonts w:hint="eastAsia"/>
          <w:color w:val="000000"/>
        </w:rPr>
      </w:r>
      <w:r>
        <w:rPr>
          <w:rFonts w:hint="eastAsia"/>
          <w:color w:val="000000"/>
        </w:rPr>
      </w:r>
    </w:p>
    <w:p>
      <w:pPr>
        <w:pStyle w:val="739"/>
        <w:pBdr/>
        <w:spacing/>
        <w:ind w:firstLine="720"/>
        <w:rPr>
          <w:rFonts w:hint="eastAsia" w:ascii="黑体" w:hAnsi="黑体" w:eastAsia="黑体" w:cs="黑体"/>
          <w:b w:val="0"/>
          <w:bCs w:val="0"/>
          <w:color w:val="000000"/>
        </w:rPr>
      </w:pPr>
      <w:r/>
      <w:bookmarkStart w:id="28" w:name="_Toc4652"/>
      <w:r>
        <w:rPr>
          <w:rFonts w:hint="eastAsia" w:ascii="黑体" w:hAnsi="黑体" w:eastAsia="黑体" w:cs="黑体"/>
          <w:b w:val="0"/>
          <w:bCs w:val="0"/>
          <w:color w:val="000000"/>
        </w:rPr>
        <w:t xml:space="preserve">三、加强创新人才队伍建设</w:t>
      </w:r>
      <w:bookmarkEnd w:id="27"/>
      <w:r/>
      <w:bookmarkEnd w:id="28"/>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3"/>
        <w:rPr>
          <w:rFonts w:hint="eastAsia"/>
          <w:color w:val="000000"/>
        </w:rPr>
      </w:pPr>
      <w:r>
        <w:rPr>
          <w:rFonts w:hint="eastAsia" w:ascii="楷体_GB2312" w:hAnsi="楷体_GB2312" w:eastAsia="楷体_GB2312" w:cs="楷体_GB2312"/>
          <w:b/>
          <w:bCs/>
          <w:color w:val="000000"/>
        </w:rPr>
        <w:t xml:space="preserve">灵活引聚急需紧缺人才</w:t>
      </w:r>
      <w:r>
        <w:rPr>
          <w:rFonts w:hint="eastAsia"/>
          <w:b/>
          <w:bCs/>
          <w:color w:val="000000"/>
        </w:rPr>
        <w:t xml:space="preserve">。</w:t>
      </w:r>
      <w:r>
        <w:rPr>
          <w:rFonts w:hint="eastAsia"/>
          <w:color w:val="000000"/>
        </w:rPr>
        <w:t xml:space="preserve">优化炎帝人才支持计划，完善有利于柔性引才和智力成果转化政策、措施。瞄准国内人才市场，持续深化市校合作，围绕专用汽车、农产品加工、风机制造等特色优势产业，实施企业科技副总、博士服务团等柔性引才项目，推动更多用人单位设立院士专家工作站、博士后科研工作站等聚才平台，大力吸引高校专家常态化来随对接合作，引导国内高校人才、技术、信息等创新要素向随州集聚。充分利用我省国际科技合作资源平台，瞄准国际人才市场，深度融入“一带一路”建设，结合湖北自贸区建设，为企业开拓国际市场和引进急需的海外人才、智力牵线搭桥。</w:t>
      </w:r>
      <w:r>
        <w:rPr>
          <w:rFonts w:hint="eastAsia"/>
          <w:color w:val="000000"/>
        </w:rPr>
      </w:r>
      <w:r>
        <w:rPr>
          <w:rFonts w:hint="eastAsia"/>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深化人才管理制度改革</w:t>
      </w:r>
      <w:r>
        <w:rPr>
          <w:rFonts w:hint="eastAsia"/>
          <w:b/>
          <w:bCs/>
          <w:color w:val="000000"/>
        </w:rPr>
        <w:t xml:space="preserve">。</w:t>
      </w:r>
      <w:r>
        <w:rPr>
          <w:rFonts w:hint="eastAsia"/>
          <w:color w:val="000000"/>
        </w:rPr>
        <w:t xml:space="preserve">着力破除制约人才引进、培养、使用、评价、流动、激励的思想束缚和制度藩篱，加快构建开放包容、运行高效的人才发展治理体系，形成具有竞争力和影响力的人才制度优势。充分发挥市场在人才资源配置中的决定性作用，进一步向用人主体放权、为人才松绑，研究破除“唯论文、唯职称、唯学历、唯奖项”的工作举措，完善以知识、技术、管理、技能等创新要素参与利益分配的新机制，支持人才合理分享创新收益。创新实施企业家培育、名师名医名家计划、农村实用人才“双创双带”示范基地建设等特色育才工程，统筹推进本地重点人才队伍建设。</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完善创新人才服务体系</w:t>
      </w:r>
      <w:r>
        <w:rPr>
          <w:rFonts w:hint="eastAsia"/>
          <w:b/>
          <w:bCs/>
          <w:color w:val="000000"/>
        </w:rPr>
        <w:t xml:space="preserve">。</w:t>
      </w:r>
      <w:r>
        <w:rPr>
          <w:rFonts w:hint="eastAsia"/>
          <w:color w:val="000000"/>
        </w:rPr>
        <w:t xml:space="preserve">进一步加大人才工作投入，更大力度支持人才创新创业，鼓励人才向艰苦地区和基层一线流动。促进人才服务的市场化、社会化，积极推动人力资源、科技金融、管理咨询、知识产权保护交易等人才服务业发展。加大政府购买人才公共服务力度，推动人才服务机构与大型国企、行业名企、外企集团对接新技术新服务。健全人才服务体系和协调机制，明确服务内容和办理程序，为人才提供职称申报、医疗、落户、社会保险、居留和出入境、住房、子女就读、配偶就业等配套服务。</w:t>
      </w:r>
      <w:r>
        <w:rPr>
          <w:color w:val="000000"/>
        </w:rPr>
      </w:r>
      <w:r>
        <w:rPr>
          <w:color w:val="000000"/>
        </w:rPr>
      </w:r>
    </w:p>
    <w:p>
      <w:pPr>
        <w:pStyle w:val="737"/>
        <w:pBdr/>
        <w:spacing/>
        <w:ind w:firstLine="0"/>
        <w:rPr>
          <w:rFonts w:hint="eastAsia"/>
          <w:color w:val="000000"/>
        </w:rPr>
      </w:pPr>
      <w:r>
        <w:rPr>
          <w:rFonts w:hint="eastAsia"/>
          <w:color w:val="000000"/>
        </w:rPr>
      </w:r>
      <w:r>
        <w:rPr>
          <w:rFonts w:hint="eastAsia"/>
          <w:color w:val="000000"/>
        </w:rPr>
      </w:r>
    </w:p>
    <w:p>
      <w:pPr>
        <w:pStyle w:val="739"/>
        <w:pBdr/>
        <w:spacing/>
        <w:ind w:firstLine="720"/>
        <w:rPr>
          <w:rFonts w:hint="eastAsia" w:ascii="黑体" w:hAnsi="黑体" w:eastAsia="黑体" w:cs="黑体"/>
          <w:b w:val="0"/>
          <w:bCs w:val="0"/>
          <w:color w:val="000000"/>
        </w:rPr>
      </w:pPr>
      <w:r/>
      <w:bookmarkStart w:id="29" w:name="_Toc13361"/>
      <w:r>
        <w:rPr>
          <w:rFonts w:hint="eastAsia" w:ascii="黑体" w:hAnsi="黑体" w:eastAsia="黑体" w:cs="黑体"/>
          <w:b w:val="0"/>
          <w:bCs w:val="0"/>
          <w:color w:val="000000"/>
        </w:rPr>
        <w:t xml:space="preserve">四、优化科技创新体制机制</w:t>
      </w:r>
      <w:bookmarkEnd w:id="29"/>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推进科技体制改革创新</w:t>
      </w:r>
      <w:r>
        <w:rPr>
          <w:rFonts w:hint="eastAsia" w:cs="仿宋_GB2312"/>
          <w:b/>
          <w:bCs/>
          <w:color w:val="000000"/>
        </w:rPr>
        <w:t xml:space="preserve">。</w:t>
      </w:r>
      <w:r>
        <w:rPr>
          <w:rFonts w:hint="eastAsia" w:cs="仿宋_GB2312"/>
          <w:color w:val="000000"/>
        </w:rPr>
        <w:t xml:space="preserve">深化政产学研合作，打造创新链、产业链、资金链、人才链、政策链</w:t>
      </w:r>
      <w:r>
        <w:rPr>
          <w:color w:val="000000"/>
        </w:rPr>
        <w:t xml:space="preserve">“</w:t>
      </w:r>
      <w:r>
        <w:rPr>
          <w:rFonts w:hint="eastAsia" w:cs="仿宋_GB2312"/>
          <w:color w:val="000000"/>
        </w:rPr>
        <w:t xml:space="preserve">五链统筹</w:t>
      </w:r>
      <w:r>
        <w:rPr>
          <w:color w:val="000000"/>
        </w:rPr>
        <w:t xml:space="preserve">”</w:t>
      </w:r>
      <w:r>
        <w:rPr>
          <w:rFonts w:hint="eastAsia" w:cs="仿宋_GB2312"/>
          <w:color w:val="000000"/>
        </w:rPr>
        <w:t xml:space="preserve">格局，建立完善企业、高等院校、科研院所等共同参与、利益共享、风险共担的产学研协同创新机制。充分发挥研究平台在技术创新中的主力军作用，重点支持湖北省专汽研究院、湖北省应急产业技术研究院、湖北省香菇产业技术研究院等研究平台利用自身优势开展技术攻关。</w:t>
      </w:r>
      <w:r>
        <w:rPr>
          <w:rFonts w:hint="eastAsia" w:cs="仿宋_GB2312"/>
          <w:color w:val="000000"/>
          <w:shd w:val="clear" w:color="auto" w:fill="ffffff"/>
        </w:rPr>
        <w:t xml:space="preserve">加快引进产业技术创新公共服务平台，探索新型研发机构的社会化、市场化运行方式，通过专家技术、资金入股等形式，提升运营服务质效，增强专家人才服务我市重点产业领域和关键环节的主动性和积极性，促进科技创新成果与产业对接、科研资源向现实生产力转化。加快推进与科技创新活动相关的科技、人才、财税等体制改革，重点在政府职能转变、科技成果转化、收益分配激励、科研项目管理、人才培育集聚、科技开放合作等方面推进制度创新</w:t>
      </w:r>
      <w:r>
        <w:rPr>
          <w:rFonts w:hint="eastAsia" w:cs="仿宋_GB2312"/>
          <w:color w:val="000000"/>
        </w:rPr>
        <w:t xml:space="preserve">。</w:t>
      </w:r>
      <w:r>
        <w:rPr>
          <w:rFonts w:hint="eastAsia" w:cs="仿宋_GB2312"/>
          <w:color w:val="000000"/>
        </w:rPr>
      </w:r>
      <w:r>
        <w:rPr>
          <w:rFonts w:hint="eastAsia" w:cs="仿宋_GB2312"/>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积极发展科技金融</w:t>
      </w:r>
      <w:r>
        <w:rPr>
          <w:rFonts w:hint="eastAsia" w:cs="仿宋_GB2312"/>
          <w:b/>
          <w:bCs/>
          <w:color w:val="000000"/>
        </w:rPr>
        <w:t xml:space="preserve">。</w:t>
      </w:r>
      <w:r>
        <w:rPr>
          <w:rFonts w:hint="eastAsia" w:cs="仿宋_GB2312"/>
          <w:color w:val="000000"/>
        </w:rPr>
        <w:t xml:space="preserve">促进金融资源与科技资源有机结合，开展科技金融产品研发，提升金融领域科技服务水平。</w:t>
      </w:r>
      <w:r>
        <w:rPr>
          <w:rFonts w:hint="eastAsia"/>
          <w:color w:val="000000"/>
        </w:rPr>
        <w:t xml:space="preserve">加强与省创业投资基金衔接，发挥创业投资支持创新创业作用。</w:t>
      </w:r>
      <w:r>
        <w:rPr>
          <w:rFonts w:hint="eastAsia" w:cs="仿宋_GB2312"/>
          <w:color w:val="000000"/>
        </w:rPr>
        <w:t xml:space="preserve">引导银行和风险投资、创业投资机构向高新技术企业、科技型中小企业开展股权投资，对企业发展所需核心技术、关键设备、重大科技成果转化提供融资支持。</w:t>
      </w:r>
      <w:r>
        <w:rPr>
          <w:rFonts w:hint="eastAsia" w:cs="仿宋_GB2312"/>
          <w:color w:val="000000"/>
        </w:rPr>
      </w:r>
      <w:r>
        <w:rPr>
          <w:rFonts w:hint="eastAsia" w:cs="仿宋_GB2312"/>
          <w:color w:val="000000"/>
        </w:rPr>
      </w:r>
    </w:p>
    <w:p>
      <w:pPr>
        <w:pStyle w:val="792"/>
        <w:pBdr/>
        <w:spacing/>
        <w:ind w:firstLine="480"/>
        <w:rPr>
          <w:color w:val="000000"/>
        </w:rPr>
      </w:pPr>
      <w:r>
        <w:rPr>
          <w:color w:val="000000"/>
        </w:rPr>
      </w:r>
      <w:r>
        <w:rPr>
          <w:color w:val="000000"/>
        </w:rPr>
      </w:r>
    </w:p>
    <w:p>
      <w:pPr>
        <w:pStyle w:val="737"/>
        <w:pBdr/>
        <w:spacing/>
        <w:ind w:firstLine="640"/>
        <w:rPr>
          <w:color w:val="000000"/>
        </w:rPr>
      </w:pPr>
      <w:r>
        <w:rPr>
          <w:color w:val="000000"/>
        </w:rPr>
      </w:r>
      <w:r>
        <w:rPr>
          <w:color w:val="000000"/>
        </w:rPr>
      </w:r>
    </w:p>
    <w:p>
      <w:pPr>
        <w:pStyle w:val="792"/>
        <w:pBdr/>
        <w:spacing/>
        <w:ind w:firstLine="480"/>
        <w:rPr>
          <w:color w:val="000000"/>
        </w:rPr>
      </w:pPr>
      <w:r>
        <w:rPr>
          <w:color w:val="000000"/>
        </w:rPr>
      </w:r>
      <w:r>
        <w:rPr>
          <w:color w:val="000000"/>
        </w:rPr>
      </w:r>
    </w:p>
    <w:p>
      <w:pPr>
        <w:pStyle w:val="737"/>
        <w:pBdr/>
        <w:spacing/>
        <w:ind w:firstLine="640"/>
        <w:rPr>
          <w:color w:val="000000"/>
        </w:rPr>
      </w:pPr>
      <w:r>
        <w:rPr>
          <w:color w:val="000000"/>
        </w:rPr>
      </w:r>
      <w:r>
        <w:rPr>
          <w:color w:val="000000"/>
        </w:rPr>
      </w:r>
    </w:p>
    <w:p>
      <w:pPr>
        <w:pStyle w:val="792"/>
        <w:pBdr/>
        <w:spacing/>
        <w:ind w:firstLine="480"/>
        <w:rPr>
          <w:color w:val="000000"/>
        </w:rPr>
      </w:pPr>
      <w:r>
        <w:rPr>
          <w:color w:val="000000"/>
        </w:rPr>
      </w:r>
      <w:r>
        <w:rPr>
          <w:color w:val="000000"/>
        </w:rPr>
      </w:r>
    </w:p>
    <w:p>
      <w:pPr>
        <w:pStyle w:val="737"/>
        <w:pBdr/>
        <w:spacing/>
        <w:ind w:firstLine="640"/>
        <w:rPr>
          <w:color w:val="000000"/>
        </w:rPr>
      </w:pPr>
      <w:r>
        <w:rPr>
          <w:color w:val="000000"/>
        </w:rPr>
      </w:r>
      <w:r>
        <w:rPr>
          <w:color w:val="000000"/>
        </w:rPr>
      </w:r>
    </w:p>
    <w:p>
      <w:pPr>
        <w:pStyle w:val="792"/>
        <w:pBdr/>
        <w:spacing/>
        <w:ind w:firstLine="480"/>
        <w:rPr>
          <w:color w:val="000000"/>
        </w:rPr>
      </w:pPr>
      <w:r>
        <w:rPr>
          <w:color w:val="000000"/>
        </w:rPr>
      </w:r>
      <w:r>
        <w:rPr>
          <w:color w:val="000000"/>
        </w:rPr>
      </w:r>
    </w:p>
    <w:p>
      <w:pPr>
        <w:pStyle w:val="737"/>
        <w:pBdr/>
        <w:spacing/>
        <w:ind w:firstLine="640"/>
        <w:rPr>
          <w:color w:val="000000"/>
        </w:rPr>
      </w:pPr>
      <w:r>
        <w:rPr>
          <w:color w:val="000000"/>
        </w:rPr>
      </w:r>
      <w:r>
        <w:rPr>
          <w:color w:val="000000"/>
        </w:rPr>
      </w:r>
    </w:p>
    <w:p>
      <w:pPr>
        <w:pStyle w:val="792"/>
        <w:pBdr/>
        <w:spacing/>
        <w:ind w:firstLine="480"/>
        <w:rPr>
          <w:color w:val="000000"/>
        </w:rPr>
      </w:pPr>
      <w:r>
        <w:rPr>
          <w:color w:val="000000"/>
        </w:rPr>
      </w:r>
      <w:r>
        <w:rPr>
          <w:color w:val="000000"/>
        </w:rPr>
      </w:r>
    </w:p>
    <w:p>
      <w:pPr>
        <w:pStyle w:val="738"/>
        <w:pBdr/>
        <w:spacing/>
        <w:ind/>
        <w:rPr>
          <w:rFonts w:hint="eastAsia" w:eastAsia="方正小标宋简体" w:cs="方正小标宋简体"/>
          <w:b w:val="0"/>
          <w:bCs w:val="0"/>
          <w:color w:val="000000"/>
          <w:sz w:val="36"/>
          <w:szCs w:val="36"/>
        </w:rPr>
      </w:pPr>
      <w:r>
        <w:rPr>
          <w:rFonts w:hint="eastAsia" w:eastAsia="方正小标宋简体" w:cs="方正小标宋简体"/>
          <w:b w:val="0"/>
          <w:bCs w:val="0"/>
          <w:color w:val="000000"/>
          <w:sz w:val="36"/>
          <w:szCs w:val="36"/>
        </w:rPr>
      </w:r>
      <w:r>
        <w:rPr>
          <w:rFonts w:hint="eastAsia" w:eastAsia="方正小标宋简体" w:cs="方正小标宋简体"/>
          <w:b w:val="0"/>
          <w:bCs w:val="0"/>
          <w:color w:val="000000"/>
          <w:sz w:val="36"/>
          <w:szCs w:val="36"/>
        </w:rPr>
      </w:r>
    </w:p>
    <w:p>
      <w:pPr>
        <w:pStyle w:val="738"/>
        <w:pBdr/>
        <w:spacing/>
        <w:ind/>
        <w:rPr>
          <w:rFonts w:hint="eastAsia" w:eastAsia="方正小标宋简体" w:cs="方正小标宋简体"/>
          <w:b w:val="0"/>
          <w:bCs w:val="0"/>
          <w:color w:val="000000"/>
          <w:sz w:val="36"/>
          <w:szCs w:val="36"/>
        </w:rPr>
      </w:pPr>
      <w:r>
        <w:rPr>
          <w:rFonts w:hint="eastAsia" w:eastAsia="方正小标宋简体" w:cs="方正小标宋简体"/>
          <w:b w:val="0"/>
          <w:bCs w:val="0"/>
          <w:color w:val="000000"/>
          <w:sz w:val="36"/>
          <w:szCs w:val="36"/>
        </w:rPr>
      </w:r>
      <w:r>
        <w:rPr>
          <w:rFonts w:hint="eastAsia" w:eastAsia="方正小标宋简体" w:cs="方正小标宋简体"/>
          <w:b w:val="0"/>
          <w:bCs w:val="0"/>
          <w:color w:val="000000"/>
          <w:sz w:val="36"/>
          <w:szCs w:val="36"/>
        </w:rPr>
      </w:r>
    </w:p>
    <w:p>
      <w:pPr>
        <w:pStyle w:val="738"/>
        <w:pBdr/>
        <w:spacing/>
        <w:ind/>
        <w:rPr>
          <w:rFonts w:eastAsia="方正小标宋简体"/>
          <w:b w:val="0"/>
          <w:bCs w:val="0"/>
          <w:color w:val="000000"/>
          <w:sz w:val="36"/>
          <w:szCs w:val="36"/>
        </w:rPr>
      </w:pPr>
      <w:r/>
      <w:bookmarkStart w:id="30" w:name="_Toc15974"/>
      <w:r>
        <w:rPr>
          <w:rFonts w:hint="eastAsia" w:eastAsia="方正小标宋简体" w:cs="方正小标宋简体"/>
          <w:b w:val="0"/>
          <w:bCs w:val="0"/>
          <w:color w:val="000000"/>
          <w:sz w:val="36"/>
          <w:szCs w:val="36"/>
        </w:rPr>
        <w:t xml:space="preserve">第三章</w:t>
      </w:r>
      <w:r>
        <w:rPr>
          <w:rFonts w:eastAsia="方正小标宋简体"/>
          <w:b w:val="0"/>
          <w:bCs w:val="0"/>
          <w:color w:val="000000"/>
          <w:sz w:val="36"/>
          <w:szCs w:val="36"/>
        </w:rPr>
        <w:t xml:space="preserve"> </w:t>
      </w:r>
      <w:r>
        <w:rPr>
          <w:rFonts w:hint="eastAsia" w:eastAsia="方正小标宋简体" w:cs="方正小标宋简体"/>
          <w:b w:val="0"/>
          <w:bCs w:val="0"/>
          <w:color w:val="000000"/>
          <w:sz w:val="36"/>
          <w:szCs w:val="36"/>
        </w:rPr>
        <w:t xml:space="preserve">完善现代产业体系</w:t>
      </w:r>
      <w:r>
        <w:rPr>
          <w:rFonts w:hint="eastAsia" w:eastAsia="方正小标宋简体" w:cs="方正小标宋简体"/>
          <w:b w:val="0"/>
          <w:bCs w:val="0"/>
          <w:color w:val="000000"/>
          <w:sz w:val="36"/>
          <w:szCs w:val="36"/>
          <w:lang w:val="en-US"/>
        </w:rPr>
        <w:t xml:space="preserve"> </w:t>
      </w:r>
      <w:r>
        <w:rPr>
          <w:rFonts w:hint="eastAsia" w:eastAsia="方正小标宋简体" w:cs="方正小标宋简体"/>
          <w:b w:val="0"/>
          <w:bCs w:val="0"/>
          <w:color w:val="000000"/>
          <w:sz w:val="36"/>
          <w:szCs w:val="36"/>
        </w:rPr>
        <w:t xml:space="preserve">打造全省特色增长极</w:t>
      </w:r>
      <w:bookmarkEnd w:id="30"/>
      <w:r>
        <w:rPr>
          <w:rFonts w:eastAsia="方正小标宋简体"/>
          <w:b w:val="0"/>
          <w:bCs w:val="0"/>
          <w:color w:val="000000"/>
          <w:sz w:val="36"/>
          <w:szCs w:val="36"/>
        </w:rPr>
      </w:r>
      <w:r>
        <w:rPr>
          <w:rFonts w:eastAsia="方正小标宋简体"/>
          <w:b w:val="0"/>
          <w:bCs w:val="0"/>
          <w:color w:val="000000"/>
          <w:sz w:val="36"/>
          <w:szCs w:val="36"/>
        </w:rPr>
      </w:r>
    </w:p>
    <w:p>
      <w:pPr>
        <w:pStyle w:val="737"/>
        <w:pBdr/>
        <w:spacing/>
        <w:ind w:firstLine="640"/>
        <w:rPr>
          <w:color w:val="000000"/>
        </w:rPr>
      </w:pPr>
      <w:r>
        <w:rPr>
          <w:color w:val="000000"/>
        </w:rPr>
      </w:r>
      <w:r>
        <w:rPr>
          <w:color w:val="000000"/>
        </w:rPr>
      </w:r>
    </w:p>
    <w:p>
      <w:pPr>
        <w:pStyle w:val="737"/>
        <w:pBdr/>
        <w:spacing/>
        <w:ind w:firstLine="640"/>
        <w:rPr>
          <w:color w:val="000000"/>
        </w:rPr>
      </w:pPr>
      <w:r>
        <w:rPr>
          <w:rFonts w:hint="eastAsia" w:cs="仿宋_GB2312"/>
          <w:color w:val="000000"/>
        </w:rPr>
        <w:t xml:space="preserve">坚持以智能化、绿色化、服务化、高端化为引领，顺应国内外产业发展新趋势，加快推进特色优势产业突破发展、高成长性产业集聚发展、新兴产业壮大发展、传统产业转型发展、现代服务业提质发展、军民融合产业培育发展。到</w:t>
      </w:r>
      <w:r>
        <w:rPr>
          <w:color w:val="000000"/>
        </w:rPr>
        <w:t xml:space="preserve">2025</w:t>
      </w:r>
      <w:r>
        <w:rPr>
          <w:rFonts w:hint="eastAsia" w:cs="仿宋_GB2312"/>
          <w:color w:val="000000"/>
        </w:rPr>
        <w:t xml:space="preserve">年，全市规模以上企业达到</w:t>
      </w:r>
      <w:r>
        <w:rPr>
          <w:color w:val="000000"/>
        </w:rPr>
        <w:t xml:space="preserve">1000</w:t>
      </w:r>
      <w:r>
        <w:rPr>
          <w:rFonts w:hint="eastAsia" w:cs="仿宋_GB2312"/>
          <w:color w:val="000000"/>
        </w:rPr>
        <w:t xml:space="preserve">家，成为湖北省特色增长极。</w:t>
      </w:r>
      <w:r>
        <w:rPr>
          <w:color w:val="000000"/>
        </w:rPr>
      </w:r>
      <w:r>
        <w:rPr>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bookmarkStart w:id="31" w:name="_Toc2278"/>
      <w:r>
        <w:rPr>
          <w:rFonts w:hint="eastAsia" w:ascii="黑体" w:hAnsi="黑体" w:eastAsia="黑体" w:cs="黑体"/>
          <w:b w:val="0"/>
          <w:bCs w:val="0"/>
          <w:color w:val="000000"/>
        </w:rPr>
        <w:t xml:space="preserve">一、突破发展特色优势产业</w:t>
      </w:r>
      <w:bookmarkEnd w:id="31"/>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color w:val="000000"/>
        </w:rPr>
      </w:pPr>
      <w:r>
        <w:rPr>
          <w:rFonts w:hint="eastAsia" w:cs="仿宋_GB2312"/>
          <w:color w:val="000000"/>
        </w:rPr>
        <w:t xml:space="preserve">以专汽之都、优质农产品生产基地、炎帝文化、风机名城为基础，深化、细化、实化产业布局，扩大知名度，增强美誉度，形成有实力的大产业、新产业和强产业，专用</w:t>
      </w:r>
      <w:r>
        <w:rPr>
          <w:rFonts w:hint="eastAsia" w:cs="仿宋_GB2312"/>
          <w:color w:val="000000"/>
          <w:lang w:eastAsia="zh-CN"/>
        </w:rPr>
        <w:t xml:space="preserve">汽车</w:t>
      </w:r>
      <w:r>
        <w:rPr>
          <w:rFonts w:hint="eastAsia" w:cs="仿宋_GB2312"/>
          <w:color w:val="000000"/>
        </w:rPr>
        <w:t xml:space="preserve">、农产品加工、文化旅游、风机制造实现裂变式发展，专用汽车产业和农产品加工业成为千亿级产业集群。</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专用汽车</w:t>
      </w:r>
      <w:r>
        <w:rPr>
          <w:rFonts w:hint="eastAsia" w:cs="仿宋_GB2312"/>
          <w:color w:val="000000"/>
        </w:rPr>
        <w:t xml:space="preserve">。擦亮</w:t>
      </w:r>
      <w:r>
        <w:rPr>
          <w:color w:val="000000"/>
        </w:rPr>
        <w:t xml:space="preserve">“</w:t>
      </w:r>
      <w:r>
        <w:rPr>
          <w:rFonts w:hint="eastAsia" w:cs="仿宋_GB2312"/>
          <w:color w:val="000000"/>
        </w:rPr>
        <w:t xml:space="preserve">中国专用汽车之都”金字招牌，把专汽</w:t>
      </w:r>
      <w:r>
        <w:rPr>
          <w:rFonts w:hint="eastAsia" w:cs="仿宋_GB2312"/>
          <w:color w:val="000000"/>
          <w:lang w:eastAsia="zh-CN"/>
        </w:rPr>
        <w:t xml:space="preserve">产业</w:t>
      </w:r>
      <w:r>
        <w:rPr>
          <w:rFonts w:hint="eastAsia" w:cs="仿宋_GB2312"/>
          <w:color w:val="000000"/>
        </w:rPr>
        <w:t xml:space="preserve">作为随州产业体系的根基、城市发展的命脉做大做强，以专</w:t>
      </w:r>
      <w:r>
        <w:rPr>
          <w:rFonts w:hint="eastAsia" w:cs="仿宋_GB2312"/>
          <w:color w:val="000000"/>
          <w:lang w:eastAsia="zh-CN"/>
        </w:rPr>
        <w:t xml:space="preserve">用</w:t>
      </w:r>
      <w:r>
        <w:rPr>
          <w:rFonts w:hint="eastAsia" w:cs="仿宋_GB2312"/>
          <w:color w:val="000000"/>
        </w:rPr>
        <w:t xml:space="preserve">汽</w:t>
      </w:r>
      <w:r>
        <w:rPr>
          <w:rFonts w:hint="eastAsia" w:cs="仿宋_GB2312"/>
          <w:color w:val="000000"/>
          <w:lang w:eastAsia="zh-CN"/>
        </w:rPr>
        <w:t xml:space="preserve">车</w:t>
      </w:r>
      <w:r>
        <w:rPr>
          <w:rFonts w:hint="eastAsia" w:cs="仿宋_GB2312"/>
          <w:color w:val="000000"/>
        </w:rPr>
        <w:t xml:space="preserve">轻量化、安全化、绿色化和集群化为方向</w:t>
      </w:r>
      <w:r>
        <w:rPr>
          <w:rFonts w:hint="eastAsia" w:cs="仿宋_GB2312"/>
          <w:color w:val="000000"/>
          <w:lang w:eastAsia="zh-CN"/>
        </w:rPr>
        <w:t xml:space="preserve">，</w:t>
      </w:r>
      <w:r>
        <w:rPr>
          <w:rFonts w:hint="eastAsia" w:cs="仿宋_GB2312"/>
          <w:color w:val="000000"/>
        </w:rPr>
        <w:t xml:space="preserve">推动实现裂变式发展，到</w:t>
      </w:r>
      <w:r>
        <w:rPr>
          <w:rFonts w:hint="eastAsia" w:cs="仿宋_GB2312"/>
          <w:color w:val="000000"/>
          <w:lang w:val="en-US"/>
        </w:rPr>
        <w:t xml:space="preserve">2025年</w:t>
      </w:r>
      <w:r>
        <w:rPr>
          <w:rFonts w:hint="eastAsia" w:cs="仿宋_GB2312"/>
          <w:color w:val="000000"/>
        </w:rPr>
        <w:t xml:space="preserve">规模企业达到200家，专用汽车及零部件实现工业总产值突破1000亿元，专用车年产量超过25万辆，新能源汽车年产量超过</w:t>
      </w:r>
      <w:r>
        <w:rPr>
          <w:color w:val="000000"/>
        </w:rPr>
        <w:t xml:space="preserve">6</w:t>
      </w:r>
      <w:r>
        <w:rPr>
          <w:rFonts w:hint="eastAsia" w:cs="仿宋_GB2312"/>
          <w:color w:val="000000"/>
        </w:rPr>
        <w:t xml:space="preserve">万辆，建设全国最大的专用汽车生产基地，确立在全国专汽行业的</w:t>
      </w:r>
      <w:r>
        <w:rPr>
          <w:color w:val="000000"/>
        </w:rPr>
        <w:t xml:space="preserve">“</w:t>
      </w:r>
      <w:r>
        <w:rPr>
          <w:rFonts w:hint="eastAsia" w:cs="仿宋_GB2312"/>
          <w:color w:val="000000"/>
        </w:rPr>
        <w:t xml:space="preserve">盟主</w:t>
      </w:r>
      <w:r>
        <w:rPr>
          <w:color w:val="000000"/>
        </w:rPr>
        <w:t xml:space="preserve">”</w:t>
      </w:r>
      <w:r>
        <w:rPr>
          <w:rFonts w:hint="eastAsia" w:cs="仿宋_GB2312"/>
          <w:color w:val="000000"/>
        </w:rPr>
        <w:t xml:space="preserve">地位，打造在</w:t>
      </w:r>
      <w:r>
        <w:rPr>
          <w:rFonts w:hint="eastAsia"/>
          <w:color w:val="000000"/>
        </w:rPr>
        <w:t xml:space="preserve">全国具有引领力的专汽之都，挺起“汉十汽车走廊”脊梁</w:t>
      </w:r>
      <w:r>
        <w:rPr>
          <w:rFonts w:hint="eastAsia" w:cs="仿宋_GB2312"/>
          <w:color w:val="000000"/>
        </w:rPr>
        <w:t xml:space="preserve">。抢抓国企混改机遇，推动央企、上市公司与本土专用汽车生产企业战略重组，引进集聚一批优质大项目、龙头企业、头部企业。支持优势企业整合兼并、扩大产能、转型升级，科学整合供应链体系，推动实现集团化、集约化、差异化、标准化发展。引导企业专业化发展，培育一批专用汽车制造领域的“专精特新”和“单项冠军”企业。加快发展专用汽车配套产业，引进一批汽车整车及核心零部件研发生产企业，建设专汽零部件产业园，推动专汽关键零部件产业化、规模化发展，提高本地配套率。</w:t>
      </w:r>
      <w:bookmarkStart w:id="32" w:name="_Hlk56178975"/>
      <w:r>
        <w:rPr>
          <w:rFonts w:hint="eastAsia" w:cs="仿宋_GB2312"/>
          <w:color w:val="000000"/>
        </w:rPr>
        <w:t xml:space="preserve">加快培育专用汽车技术研发、电子商务、检测认证、技术咨询、现代物流、人力资源、融资租赁、售后服务等多种业态，推进随州专用汽车和零部件产业向服务领域延伸，建设专用车会展中心、汽车检验检测中心、公共智能涂装中心、专用汽车技术研发中心、汽车试验场，促进专汽产业逐步由生产制造型向生产服务型转变。</w:t>
      </w:r>
      <w:bookmarkEnd w:id="32"/>
      <w:r>
        <w:rPr>
          <w:rFonts w:hint="eastAsia" w:cs="仿宋_GB2312"/>
          <w:color w:val="000000"/>
        </w:rPr>
        <w:t xml:space="preserve">充分利用专用汽车产业开放平台耦合更多关联产业，发挥</w:t>
      </w:r>
      <w:r>
        <w:rPr>
          <w:color w:val="000000"/>
        </w:rPr>
        <w:t xml:space="preserve">“</w:t>
      </w:r>
      <w:r>
        <w:rPr>
          <w:rFonts w:hint="eastAsia" w:cs="仿宋_GB2312"/>
          <w:color w:val="000000"/>
        </w:rPr>
        <w:t xml:space="preserve">湖北省特种车辆应急动员保障中心</w:t>
      </w:r>
      <w:r>
        <w:rPr>
          <w:color w:val="000000"/>
        </w:rPr>
        <w:t xml:space="preserve">”</w:t>
      </w:r>
      <w:r>
        <w:rPr>
          <w:rFonts w:hint="eastAsia" w:cs="仿宋_GB2312"/>
          <w:color w:val="000000"/>
        </w:rPr>
        <w:t xml:space="preserve">资源优势，全力发展应急救援专用汽车，建设国家应急产业示范基地，打造具有随州地方标志性、领跑全国的应急产业地标。</w:t>
      </w:r>
      <w:r>
        <w:rPr>
          <w:color w:val="000000"/>
        </w:rPr>
      </w:r>
      <w:r>
        <w:rPr>
          <w:color w:val="000000"/>
        </w:rPr>
      </w:r>
    </w:p>
    <w:p>
      <w:pPr>
        <w:pStyle w:val="737"/>
        <w:pBdr/>
        <w:spacing/>
        <w:ind w:firstLine="643"/>
        <w:rPr>
          <w:color w:val="000000"/>
        </w:rPr>
      </w:pPr>
      <w:r>
        <w:rPr>
          <w:rFonts w:ascii="Times New Roman" w:hAnsi="Times New Roman"/>
          <w:b/>
          <w:bCs/>
          <w:color w:val="000000"/>
        </w:rPr>
        <w:t xml:space="preserve">——专用车整车</w:t>
      </w:r>
      <w:r>
        <w:rPr>
          <w:rFonts w:hint="eastAsia" w:cs="仿宋_GB2312"/>
          <w:color w:val="000000"/>
        </w:rPr>
        <w:t xml:space="preserve">。巩固传统专用车特色优势，重点发展危化品罐式车、消防车、抢险救援车、军品车、环卫车、房车、纯电动物流车等产品，将危化品罐式车打造成享誉全国的知名品牌。加快发展智能网联专用汽车，推进智能网联示范应用，重点在城市环卫、危化品、应急救援等专用车领域实现智能化、网联化。</w:t>
      </w:r>
      <w:r>
        <w:rPr>
          <w:color w:val="000000"/>
        </w:rPr>
      </w:r>
      <w:r>
        <w:rPr>
          <w:color w:val="000000"/>
        </w:rPr>
      </w:r>
    </w:p>
    <w:p>
      <w:pPr>
        <w:pStyle w:val="737"/>
        <w:pBdr/>
        <w:spacing/>
        <w:ind w:firstLine="643"/>
        <w:rPr>
          <w:color w:val="000000"/>
        </w:rPr>
      </w:pPr>
      <w:r>
        <w:rPr>
          <w:rFonts w:ascii="Times New Roman" w:hAnsi="Times New Roman"/>
          <w:b/>
          <w:bCs/>
          <w:color w:val="000000"/>
        </w:rPr>
        <w:t xml:space="preserve">——</w:t>
      </w:r>
      <w:r>
        <w:rPr>
          <w:rFonts w:hint="eastAsia" w:ascii="Times New Roman" w:hAnsi="Times New Roman"/>
          <w:b/>
          <w:bCs/>
          <w:color w:val="000000"/>
        </w:rPr>
        <w:t xml:space="preserve">新能源汽车</w:t>
      </w:r>
      <w:r>
        <w:rPr>
          <w:rFonts w:hint="eastAsia" w:cs="仿宋_GB2312"/>
          <w:color w:val="000000"/>
        </w:rPr>
        <w:t xml:space="preserve">。重点发展纯电动汽车，加快开发动力电池与管理系统、驱动电机与电力电子、网联化与智能化技术，加大对新能源专用车及零部件企业的引进力度，引进国内知名的新能源汽车生产企业，以及电机、电控、动力电池、电池回收等企业落户随州。进一步深化与恒天集团、东风公司、比亚迪战略合作，支持恒天新楚风、程力集团、东风随专通过重组、合作等方式发展新能源整车，提升研发能力和整体竞争实力，打造以新能源整车为核心的整车龙头企业。重点发展城市环卫类新能源专用车，争取到</w:t>
      </w:r>
      <w:r>
        <w:rPr>
          <w:color w:val="000000"/>
        </w:rPr>
        <w:t xml:space="preserve">2025</w:t>
      </w:r>
      <w:r>
        <w:rPr>
          <w:rFonts w:hint="eastAsia" w:cs="仿宋_GB2312"/>
          <w:color w:val="000000"/>
        </w:rPr>
        <w:t xml:space="preserve">年，城市环卫类新能源专用车产量占环卫车总产量比例达到</w:t>
      </w:r>
      <w:r>
        <w:rPr>
          <w:color w:val="000000"/>
        </w:rPr>
        <w:t xml:space="preserve">25%</w:t>
      </w:r>
      <w:r>
        <w:rPr>
          <w:rFonts w:hint="eastAsia" w:cs="仿宋_GB2312"/>
          <w:color w:val="000000"/>
        </w:rPr>
        <w:t xml:space="preserve">以上。</w:t>
      </w:r>
      <w:r>
        <w:rPr>
          <w:color w:val="000000"/>
        </w:rPr>
      </w:r>
      <w:r>
        <w:rPr>
          <w:color w:val="000000"/>
        </w:rPr>
      </w:r>
    </w:p>
    <w:p>
      <w:pPr>
        <w:pStyle w:val="737"/>
        <w:pBdr/>
        <w:spacing/>
        <w:ind w:firstLine="643"/>
        <w:rPr>
          <w:color w:val="000000"/>
        </w:rPr>
      </w:pPr>
      <w:r>
        <w:rPr>
          <w:rFonts w:ascii="Times New Roman" w:hAnsi="Times New Roman"/>
          <w:b/>
          <w:bCs/>
          <w:color w:val="000000"/>
        </w:rPr>
        <w:t xml:space="preserve">——</w:t>
      </w:r>
      <w:r>
        <w:rPr>
          <w:rFonts w:hint="eastAsia" w:ascii="Times New Roman" w:hAnsi="Times New Roman"/>
          <w:b/>
          <w:bCs/>
          <w:color w:val="000000"/>
        </w:rPr>
        <w:t xml:space="preserve">专用车底盘</w:t>
      </w:r>
      <w:r>
        <w:rPr>
          <w:rFonts w:hint="eastAsia" w:cs="仿宋_GB2312"/>
          <w:color w:val="000000"/>
        </w:rPr>
        <w:t xml:space="preserve">。壮大底盘生产规模，依托东风随专、恒天新楚风、程力集团底盘生产线，加大技改和扩能力度，重点研发适应随州本地专用车需求的个性化底盘。推动底盘配套发展，实现底盘企业与专用车和零部件企业开展技术、产品公告、定制化生产等深度合作，力争到</w:t>
      </w:r>
      <w:r>
        <w:rPr>
          <w:color w:val="000000"/>
        </w:rPr>
        <w:t xml:space="preserve">2025</w:t>
      </w:r>
      <w:r>
        <w:rPr>
          <w:rFonts w:hint="eastAsia" w:cs="仿宋_GB2312"/>
          <w:color w:val="000000"/>
        </w:rPr>
        <w:t xml:space="preserve">年</w:t>
      </w:r>
      <w:r>
        <w:rPr>
          <w:rFonts w:hint="eastAsia" w:cs="仿宋_GB2312"/>
          <w:color w:val="000000"/>
          <w:lang w:eastAsia="zh-CN"/>
        </w:rPr>
        <w:t xml:space="preserve">，</w:t>
      </w:r>
      <w:r>
        <w:rPr>
          <w:rFonts w:hint="eastAsia" w:cs="仿宋_GB2312"/>
          <w:color w:val="000000"/>
        </w:rPr>
        <w:t xml:space="preserve">随州</w:t>
      </w:r>
      <w:r>
        <w:rPr>
          <w:rFonts w:hint="eastAsia" w:cs="仿宋_GB2312"/>
          <w:color w:val="000000"/>
          <w:lang w:eastAsia="zh-CN"/>
        </w:rPr>
        <w:t xml:space="preserve">市</w:t>
      </w:r>
      <w:r>
        <w:rPr>
          <w:rFonts w:hint="eastAsia" w:cs="仿宋_GB2312"/>
          <w:color w:val="000000"/>
        </w:rPr>
        <w:t xml:space="preserve">专用汽车底盘本地配套率达到</w:t>
      </w:r>
      <w:r>
        <w:rPr>
          <w:color w:val="000000"/>
        </w:rPr>
        <w:t xml:space="preserve">40%</w:t>
      </w:r>
      <w:r>
        <w:rPr>
          <w:rFonts w:hint="eastAsia" w:cs="仿宋_GB2312"/>
          <w:color w:val="000000"/>
        </w:rPr>
        <w:t xml:space="preserve">。</w:t>
      </w:r>
      <w:r>
        <w:rPr>
          <w:color w:val="000000"/>
        </w:rPr>
      </w:r>
      <w:r>
        <w:rPr>
          <w:color w:val="000000"/>
        </w:rPr>
      </w:r>
    </w:p>
    <w:p>
      <w:pPr>
        <w:pStyle w:val="737"/>
        <w:pBdr/>
        <w:spacing/>
        <w:ind w:firstLine="643"/>
        <w:rPr>
          <w:color w:val="000000"/>
        </w:rPr>
      </w:pPr>
      <w:r>
        <w:rPr>
          <w:rFonts w:ascii="Times New Roman" w:hAnsi="Times New Roman"/>
          <w:b/>
          <w:bCs/>
          <w:color w:val="000000"/>
        </w:rPr>
        <w:t xml:space="preserve">——</w:t>
      </w:r>
      <w:r>
        <w:rPr>
          <w:rFonts w:hint="eastAsia" w:ascii="Times New Roman" w:hAnsi="Times New Roman"/>
          <w:b/>
          <w:bCs/>
          <w:color w:val="000000"/>
        </w:rPr>
        <w:t xml:space="preserve">汽车零部件</w:t>
      </w:r>
      <w:r>
        <w:rPr>
          <w:rFonts w:hint="eastAsia" w:cs="仿宋_GB2312"/>
          <w:color w:val="000000"/>
        </w:rPr>
        <w:t xml:space="preserve">。发展通用关键零部件，重点支持齐星车身、东风车轮、华龙车灯、新兴全力、亿丰泵业等汽车零部件企业，拓展研发燃油供给系统、车身内饰系统、电器照明系统、电子控制系统和信息系统等汽车零部件技术，提高车桥、汽车铸件、变速箱壳体、液压件、油箱、油泵、汽车覆盖件等通用汽车零部件的市场占有率。发展上装零部件，开展光机电一体化技术、传感技术、自动控制技术和智能化技术等高新技术的研究，重点引进和研发光电类传感器、电控系统、电液系统、变量液压泵、电磁控制阀、液压控制阀、各类液压元件、静液传动系统等专用汽车上装关键零部件产品。到</w:t>
      </w:r>
      <w:r>
        <w:rPr>
          <w:color w:val="000000"/>
        </w:rPr>
        <w:t xml:space="preserve">2025</w:t>
      </w:r>
      <w:r>
        <w:rPr>
          <w:rFonts w:hint="eastAsia" w:cs="仿宋_GB2312"/>
          <w:color w:val="000000"/>
        </w:rPr>
        <w:t xml:space="preserve">年，随州市汽车零部件批量进入国内知名大型商用车的配套体系，力争融入跨国公司全球采购体系，实现专用汽车整车及汽车零部件产业领域的拓展和产业链条的延伸。</w:t>
      </w:r>
      <w:r>
        <w:rPr>
          <w:color w:val="000000"/>
        </w:rPr>
      </w:r>
      <w:r>
        <w:rPr>
          <w:color w:val="000000"/>
        </w:rPr>
      </w:r>
    </w:p>
    <w:tbl>
      <w:tblPr>
        <w:tblW w:w="0" w:type="auto"/>
        <w:tblInd w:w="-1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4A0" w:firstRow="1" w:lastRow="0" w:firstColumn="1" w:lastColumn="0" w:noHBand="0" w:noVBand="1"/>
      </w:tblPr>
      <w:tblGrid>
        <w:gridCol w:w="8834"/>
      </w:tblGrid>
      <w:tr>
        <w:trPr/>
        <w:tc>
          <w:tcPr>
            <w:tcBorders/>
            <w:tcW w:w="8834" w:type="dxa"/>
            <w:vAlign w:val="top"/>
            <w:textDirection w:val="lrTb"/>
            <w:noWrap w:val="false"/>
          </w:tcPr>
          <w:p>
            <w:pPr>
              <w:pStyle w:val="797"/>
              <w:pBdr/>
              <w:spacing/>
              <w:ind w:firstLine="0"/>
              <w:jc w:val="center"/>
              <w:rPr>
                <w:b/>
                <w:bCs/>
                <w:color w:val="000000"/>
              </w:rPr>
            </w:pPr>
            <w:r>
              <w:rPr>
                <w:rFonts w:hint="eastAsia" w:cs="仿宋_GB2312"/>
                <w:b/>
                <w:bCs/>
                <w:color w:val="000000"/>
                <w:sz w:val="28"/>
                <w:szCs w:val="28"/>
              </w:rPr>
              <w:t xml:space="preserve">专栏一：专用汽车产业重点项目</w:t>
            </w:r>
            <w:r>
              <w:rPr>
                <w:b/>
                <w:bCs/>
                <w:color w:val="000000"/>
              </w:rPr>
            </w:r>
            <w:r>
              <w:rPr>
                <w:b/>
                <w:bCs/>
                <w:color w:val="000000"/>
              </w:rPr>
            </w:r>
          </w:p>
        </w:tc>
      </w:tr>
      <w:tr>
        <w:trPr/>
        <w:tc>
          <w:tcPr>
            <w:tcBorders/>
            <w:tcW w:w="8834" w:type="dxa"/>
            <w:vAlign w:val="top"/>
            <w:textDirection w:val="lrTb"/>
            <w:noWrap w:val="false"/>
          </w:tcPr>
          <w:p>
            <w:pPr>
              <w:pStyle w:val="797"/>
              <w:pBdr/>
              <w:spacing/>
              <w:ind w:firstLine="482"/>
              <w:rPr>
                <w:rFonts w:hint="eastAsia" w:cs="仿宋_GB2312"/>
                <w:color w:val="000000"/>
                <w:sz w:val="24"/>
                <w:szCs w:val="24"/>
                <w:lang w:val="en-US"/>
              </w:rPr>
            </w:pPr>
            <w:r>
              <w:rPr>
                <w:rFonts w:hint="eastAsia" w:cs="仿宋_GB2312"/>
                <w:b/>
                <w:bCs/>
                <w:color w:val="000000"/>
                <w:sz w:val="24"/>
                <w:szCs w:val="24"/>
                <w:lang w:val="en-US"/>
              </w:rPr>
              <w:t xml:space="preserve">1、湖北省应急产业技术研究院基建建设、产教融合创新基地和实训基地项目。</w:t>
            </w:r>
            <w:r>
              <w:rPr>
                <w:rFonts w:hint="eastAsia" w:cs="仿宋_GB2312"/>
                <w:color w:val="000000"/>
                <w:sz w:val="24"/>
                <w:szCs w:val="24"/>
                <w:lang w:val="en-US"/>
              </w:rPr>
              <w:t xml:space="preserve">建设3800平方米厂房（生产实训区）、3000平方米室内实训场所（教学实训区）、3000平方米生活配套区域，新建移动应急设计中心、关键零部件共性技术研发中心、试验与检测中心、专用车数据中心、知识产权研究中心、中试生产线。</w:t>
            </w:r>
            <w:r>
              <w:rPr>
                <w:rFonts w:hint="eastAsia" w:cs="仿宋_GB2312"/>
                <w:color w:val="000000"/>
                <w:sz w:val="24"/>
                <w:szCs w:val="24"/>
                <w:lang w:val="en-US"/>
              </w:rPr>
            </w:r>
            <w:r>
              <w:rPr>
                <w:rFonts w:hint="eastAsia" w:cs="仿宋_GB2312"/>
                <w:color w:val="000000"/>
                <w:sz w:val="24"/>
                <w:szCs w:val="24"/>
                <w:lang w:val="en-US"/>
              </w:rPr>
            </w:r>
          </w:p>
          <w:p>
            <w:pPr>
              <w:pStyle w:val="797"/>
              <w:pBdr/>
              <w:spacing/>
              <w:ind w:firstLine="482"/>
              <w:rPr>
                <w:rFonts w:hint="eastAsia" w:cs="仿宋_GB2312"/>
                <w:color w:val="000000"/>
                <w:sz w:val="24"/>
                <w:szCs w:val="24"/>
                <w:lang w:val="en-US"/>
              </w:rPr>
            </w:pPr>
            <w:r>
              <w:rPr>
                <w:rFonts w:hint="eastAsia" w:cs="仿宋_GB2312"/>
                <w:b/>
                <w:bCs/>
                <w:color w:val="000000"/>
                <w:sz w:val="24"/>
                <w:szCs w:val="24"/>
                <w:lang w:val="en-US"/>
              </w:rPr>
              <w:t xml:space="preserve">2、中航油航空物流装备制造产业基地项目。</w:t>
            </w:r>
            <w:r>
              <w:rPr>
                <w:rFonts w:hint="eastAsia" w:cs="仿宋_GB2312"/>
                <w:color w:val="000000"/>
                <w:sz w:val="24"/>
                <w:szCs w:val="24"/>
                <w:lang w:val="en-US"/>
              </w:rPr>
              <w:t xml:space="preserve">建设6万平方米标准化厂房、1万平方米成品仓库，新建6条机场特种专用车生产线。</w:t>
            </w:r>
            <w:r>
              <w:rPr>
                <w:rFonts w:hint="eastAsia" w:cs="仿宋_GB2312"/>
                <w:color w:val="000000"/>
                <w:sz w:val="24"/>
                <w:szCs w:val="24"/>
                <w:lang w:val="en-US"/>
              </w:rPr>
            </w:r>
            <w:r>
              <w:rPr>
                <w:rFonts w:hint="eastAsia" w:cs="仿宋_GB2312"/>
                <w:color w:val="000000"/>
                <w:sz w:val="24"/>
                <w:szCs w:val="24"/>
                <w:lang w:val="en-US"/>
              </w:rPr>
            </w:r>
          </w:p>
          <w:p>
            <w:pPr>
              <w:pStyle w:val="797"/>
              <w:pBdr/>
              <w:spacing/>
              <w:ind w:firstLine="482"/>
              <w:rPr>
                <w:rFonts w:hint="eastAsia" w:cs="仿宋_GB2312"/>
                <w:color w:val="000000"/>
                <w:sz w:val="24"/>
                <w:szCs w:val="24"/>
                <w:lang w:val="en-US"/>
              </w:rPr>
            </w:pPr>
            <w:r>
              <w:rPr>
                <w:rFonts w:hint="eastAsia" w:cs="仿宋_GB2312"/>
                <w:b/>
                <w:bCs/>
                <w:color w:val="000000"/>
                <w:sz w:val="24"/>
                <w:szCs w:val="24"/>
                <w:lang w:val="en-US"/>
              </w:rPr>
              <w:t xml:space="preserve">3、东风“专攻天下”系列整车生产项目。</w:t>
            </w:r>
            <w:r>
              <w:rPr>
                <w:rFonts w:hint="eastAsia" w:cs="仿宋_GB2312"/>
                <w:color w:val="000000"/>
                <w:sz w:val="24"/>
                <w:szCs w:val="24"/>
                <w:lang w:val="en-US"/>
              </w:rPr>
              <w:t xml:space="preserve">建设18万平方米厂房、综合楼1栋，购置数控切割机、数控铣边机、运输翻板一体机</w:t>
            </w:r>
            <w:r>
              <w:rPr>
                <w:rFonts w:hint="eastAsia" w:cs="仿宋_GB2312"/>
                <w:color w:val="000000"/>
                <w:sz w:val="24"/>
                <w:szCs w:val="24"/>
                <w:lang w:val="en-US" w:eastAsia="zh-CN"/>
              </w:rPr>
              <w:t xml:space="preserve">、</w:t>
            </w:r>
            <w:r>
              <w:rPr>
                <w:rFonts w:hint="eastAsia" w:cs="仿宋_GB2312"/>
                <w:color w:val="000000"/>
                <w:sz w:val="24"/>
                <w:szCs w:val="24"/>
                <w:lang w:val="en-US"/>
              </w:rPr>
              <w:t xml:space="preserve">大型拼板机、数控卷板机、大型涨形机、无模板旋边机、异形罐体环缝等离子弧焊机等设备，新建“专攻天下”系列矿山自卸车、水泥搅拌车整车生产线各1条。</w:t>
            </w:r>
            <w:r>
              <w:rPr>
                <w:rFonts w:hint="eastAsia" w:cs="仿宋_GB2312"/>
                <w:color w:val="000000"/>
                <w:sz w:val="24"/>
                <w:szCs w:val="24"/>
                <w:lang w:val="en-US"/>
              </w:rPr>
            </w:r>
            <w:r>
              <w:rPr>
                <w:rFonts w:hint="eastAsia" w:cs="仿宋_GB2312"/>
                <w:color w:val="000000"/>
                <w:sz w:val="24"/>
                <w:szCs w:val="24"/>
                <w:lang w:val="en-US"/>
              </w:rPr>
            </w:r>
          </w:p>
          <w:p>
            <w:pPr>
              <w:pStyle w:val="797"/>
              <w:pBdr/>
              <w:spacing/>
              <w:ind w:firstLine="482"/>
              <w:rPr>
                <w:rFonts w:hint="eastAsia" w:cs="仿宋_GB2312"/>
                <w:color w:val="000000"/>
                <w:sz w:val="24"/>
                <w:szCs w:val="24"/>
                <w:lang w:val="en-US"/>
              </w:rPr>
            </w:pPr>
            <w:r>
              <w:rPr>
                <w:rFonts w:hint="eastAsia" w:cs="仿宋_GB2312"/>
                <w:b/>
                <w:bCs/>
                <w:color w:val="000000"/>
                <w:sz w:val="24"/>
                <w:szCs w:val="24"/>
                <w:lang w:val="en-US"/>
              </w:rPr>
              <w:t xml:space="preserve">4、江南应急救援消防车生产项目。</w:t>
            </w:r>
            <w:r>
              <w:rPr>
                <w:rFonts w:hint="eastAsia" w:cs="仿宋_GB2312"/>
                <w:color w:val="000000"/>
                <w:sz w:val="24"/>
                <w:szCs w:val="24"/>
                <w:lang w:val="en-US"/>
              </w:rPr>
              <w:t xml:space="preserve">占地300亩，建筑面积约17万平方米，新建各类应急救援消防车生产线5条，涂装生产线1条及检测中心、试验场、研发大楼等。</w:t>
            </w:r>
            <w:r>
              <w:rPr>
                <w:rFonts w:hint="eastAsia" w:cs="仿宋_GB2312"/>
                <w:color w:val="000000"/>
                <w:sz w:val="24"/>
                <w:szCs w:val="24"/>
                <w:lang w:val="en-US"/>
              </w:rPr>
            </w:r>
            <w:r>
              <w:rPr>
                <w:rFonts w:hint="eastAsia" w:cs="仿宋_GB2312"/>
                <w:color w:val="000000"/>
                <w:sz w:val="24"/>
                <w:szCs w:val="24"/>
                <w:lang w:val="en-US"/>
              </w:rPr>
            </w:r>
          </w:p>
          <w:p>
            <w:pPr>
              <w:pStyle w:val="797"/>
              <w:pBdr/>
              <w:spacing/>
              <w:ind w:firstLine="482"/>
              <w:rPr>
                <w:rFonts w:hint="eastAsia" w:cs="仿宋_GB2312"/>
                <w:color w:val="000000"/>
                <w:sz w:val="24"/>
                <w:szCs w:val="24"/>
                <w:lang w:val="en-US"/>
              </w:rPr>
            </w:pPr>
            <w:r>
              <w:rPr>
                <w:rFonts w:hint="eastAsia" w:cs="仿宋_GB2312"/>
                <w:b/>
                <w:bCs/>
                <w:color w:val="000000"/>
                <w:sz w:val="24"/>
                <w:szCs w:val="24"/>
                <w:lang w:val="en-US"/>
              </w:rPr>
              <w:t xml:space="preserve">5、程力应急救援装备产业化及新能源专用汽车生产项目。</w:t>
            </w:r>
            <w:r>
              <w:rPr>
                <w:rFonts w:hint="eastAsia" w:cs="仿宋_GB2312"/>
                <w:color w:val="000000"/>
                <w:sz w:val="24"/>
                <w:szCs w:val="24"/>
                <w:lang w:val="en-US"/>
              </w:rPr>
              <w:t xml:space="preserve">建设生产车间8万平方米</w:t>
            </w:r>
            <w:r>
              <w:rPr>
                <w:rFonts w:hint="eastAsia" w:cs="仿宋_GB2312"/>
                <w:color w:val="000000"/>
                <w:sz w:val="24"/>
                <w:szCs w:val="24"/>
                <w:lang w:val="en-US" w:eastAsia="zh-CN"/>
              </w:rPr>
              <w:t xml:space="preserve">、</w:t>
            </w:r>
            <w:r>
              <w:rPr>
                <w:rFonts w:hint="eastAsia" w:cs="仿宋_GB2312"/>
                <w:color w:val="000000"/>
                <w:sz w:val="24"/>
                <w:szCs w:val="24"/>
                <w:lang w:val="en-US"/>
              </w:rPr>
              <w:t xml:space="preserve">技术中心和销售服务中心1万平方米，新建应急救援特种车辆自动化生产线5条，购置生产、检验、检测等设备。</w:t>
            </w:r>
            <w:r>
              <w:rPr>
                <w:rFonts w:hint="eastAsia" w:cs="仿宋_GB2312"/>
                <w:color w:val="000000"/>
                <w:sz w:val="24"/>
                <w:szCs w:val="24"/>
                <w:lang w:val="en-US"/>
              </w:rPr>
            </w:r>
            <w:r>
              <w:rPr>
                <w:rFonts w:hint="eastAsia" w:cs="仿宋_GB2312"/>
                <w:color w:val="000000"/>
                <w:sz w:val="24"/>
                <w:szCs w:val="24"/>
                <w:lang w:val="en-US"/>
              </w:rPr>
            </w:r>
          </w:p>
          <w:p>
            <w:pPr>
              <w:pStyle w:val="797"/>
              <w:pBdr/>
              <w:spacing/>
              <w:ind w:firstLine="482"/>
              <w:rPr>
                <w:rFonts w:hint="eastAsia" w:cs="仿宋_GB2312"/>
                <w:color w:val="000000"/>
                <w:sz w:val="24"/>
                <w:szCs w:val="24"/>
                <w:lang w:val="en-US"/>
              </w:rPr>
            </w:pPr>
            <w:r>
              <w:rPr>
                <w:rFonts w:hint="eastAsia" w:cs="仿宋_GB2312"/>
                <w:b/>
                <w:bCs/>
                <w:color w:val="000000"/>
                <w:sz w:val="24"/>
                <w:szCs w:val="24"/>
                <w:lang w:val="en-US"/>
              </w:rPr>
              <w:t xml:space="preserve">6、楚胜专用救援装备智能制造产业化项目。</w:t>
            </w:r>
            <w:r>
              <w:rPr>
                <w:rFonts w:hint="eastAsia" w:cs="仿宋_GB2312"/>
                <w:color w:val="000000"/>
                <w:sz w:val="24"/>
                <w:szCs w:val="24"/>
                <w:lang w:val="en-US"/>
              </w:rPr>
              <w:t xml:space="preserve">建设30000平方米智能制造车间、4000平方米环保涂装车间、5000平方米商用车研究院，改造应急产品备料中心，购置智能化生产线及检验测试仪设备。</w:t>
            </w:r>
            <w:r>
              <w:rPr>
                <w:rFonts w:hint="eastAsia" w:cs="仿宋_GB2312"/>
                <w:color w:val="000000"/>
                <w:sz w:val="24"/>
                <w:szCs w:val="24"/>
                <w:lang w:val="en-US"/>
              </w:rPr>
            </w:r>
            <w:r>
              <w:rPr>
                <w:rFonts w:hint="eastAsia" w:cs="仿宋_GB2312"/>
                <w:color w:val="000000"/>
                <w:sz w:val="24"/>
                <w:szCs w:val="24"/>
                <w:lang w:val="en-US"/>
              </w:rPr>
            </w:r>
          </w:p>
          <w:p>
            <w:pPr>
              <w:pStyle w:val="797"/>
              <w:pBdr/>
              <w:spacing/>
              <w:ind w:firstLine="482"/>
              <w:rPr>
                <w:rFonts w:hint="eastAsia" w:cs="仿宋_GB2312"/>
                <w:color w:val="000000"/>
                <w:sz w:val="24"/>
                <w:szCs w:val="24"/>
                <w:lang w:val="en-US"/>
              </w:rPr>
            </w:pPr>
            <w:r>
              <w:rPr>
                <w:rFonts w:hint="eastAsia" w:cs="仿宋_GB2312"/>
                <w:b/>
                <w:bCs/>
                <w:color w:val="000000"/>
                <w:sz w:val="24"/>
                <w:szCs w:val="24"/>
                <w:lang w:val="en-US"/>
              </w:rPr>
              <w:t xml:space="preserve">7、常森汽车零部件二期项目。</w:t>
            </w:r>
            <w:r>
              <w:rPr>
                <w:rFonts w:hint="eastAsia" w:cs="仿宋_GB2312"/>
                <w:color w:val="000000"/>
                <w:sz w:val="24"/>
                <w:szCs w:val="24"/>
                <w:lang w:val="en-US"/>
              </w:rPr>
              <w:t xml:space="preserve">建设汽车车身、车桥等模块零部件加工及涂装车间，购置自动化生产设备。</w:t>
            </w:r>
            <w:r>
              <w:rPr>
                <w:rFonts w:hint="eastAsia" w:cs="仿宋_GB2312"/>
                <w:color w:val="000000"/>
                <w:sz w:val="24"/>
                <w:szCs w:val="24"/>
                <w:lang w:val="en-US"/>
              </w:rPr>
            </w:r>
            <w:r>
              <w:rPr>
                <w:rFonts w:hint="eastAsia" w:cs="仿宋_GB2312"/>
                <w:color w:val="000000"/>
                <w:sz w:val="24"/>
                <w:szCs w:val="24"/>
                <w:lang w:val="en-US"/>
              </w:rPr>
            </w:r>
          </w:p>
          <w:p>
            <w:pPr>
              <w:pStyle w:val="797"/>
              <w:pBdr/>
              <w:spacing/>
              <w:ind w:firstLine="482"/>
              <w:rPr>
                <w:rFonts w:hint="eastAsia" w:cs="仿宋_GB2312"/>
                <w:color w:val="000000"/>
                <w:sz w:val="24"/>
                <w:szCs w:val="24"/>
                <w:lang w:val="en-US"/>
              </w:rPr>
            </w:pPr>
            <w:r>
              <w:rPr>
                <w:rFonts w:hint="eastAsia" w:cs="仿宋_GB2312"/>
                <w:b/>
                <w:bCs/>
                <w:color w:val="000000"/>
                <w:sz w:val="24"/>
                <w:szCs w:val="24"/>
                <w:lang w:val="en-US"/>
              </w:rPr>
              <w:t xml:space="preserve">8、新兴际华智能化工程车制造项目。</w:t>
            </w:r>
            <w:r>
              <w:rPr>
                <w:rFonts w:hint="eastAsia" w:cs="仿宋_GB2312"/>
                <w:color w:val="000000"/>
                <w:sz w:val="24"/>
                <w:szCs w:val="24"/>
                <w:lang w:val="en-US"/>
              </w:rPr>
              <w:t xml:space="preserve">征地500亩，建设推土机、挖掘机、吊管机、自卸车等特种工程机械生产线。</w:t>
            </w:r>
            <w:r>
              <w:rPr>
                <w:rFonts w:hint="eastAsia" w:cs="仿宋_GB2312"/>
                <w:color w:val="000000"/>
                <w:sz w:val="24"/>
                <w:szCs w:val="24"/>
                <w:lang w:val="en-US"/>
              </w:rPr>
            </w:r>
            <w:r>
              <w:rPr>
                <w:rFonts w:hint="eastAsia" w:cs="仿宋_GB2312"/>
                <w:color w:val="000000"/>
                <w:sz w:val="24"/>
                <w:szCs w:val="24"/>
                <w:lang w:val="en-US"/>
              </w:rPr>
            </w:r>
          </w:p>
          <w:p>
            <w:pPr>
              <w:pStyle w:val="797"/>
              <w:pBdr/>
              <w:spacing/>
              <w:ind w:firstLine="482"/>
              <w:rPr>
                <w:rFonts w:hint="eastAsia" w:cs="仿宋_GB2312"/>
                <w:color w:val="000000"/>
                <w:sz w:val="24"/>
                <w:szCs w:val="24"/>
              </w:rPr>
            </w:pPr>
            <w:r>
              <w:rPr>
                <w:rFonts w:hint="eastAsia" w:cs="仿宋_GB2312"/>
                <w:b/>
                <w:bCs/>
                <w:color w:val="000000"/>
                <w:sz w:val="24"/>
                <w:szCs w:val="24"/>
                <w:lang w:val="en-US"/>
              </w:rPr>
              <w:t xml:space="preserve">9、工程机械制造基地项目。</w:t>
            </w:r>
            <w:r>
              <w:rPr>
                <w:rFonts w:hint="eastAsia" w:cs="仿宋_GB2312"/>
                <w:color w:val="000000"/>
                <w:sz w:val="24"/>
                <w:szCs w:val="24"/>
              </w:rPr>
              <w:t xml:space="preserve">征地500亩，建设10万平方米生产厂房和2000平方米研发中心，购置机械手、电液伺服数控折弯机、性能测试台、模拟试验系统测试台等生产、检测、研发等设备，配套建设供配电工程、室内给排水工程、空压动力工程、环保设施和室外工程、物流中心等，新建挖掘、铲土、运输、压实、桩工、钢筋混凝土、凿岩等机械制造生产线。</w:t>
            </w:r>
            <w:r>
              <w:rPr>
                <w:rFonts w:hint="eastAsia" w:cs="仿宋_GB2312"/>
                <w:color w:val="000000"/>
                <w:sz w:val="24"/>
                <w:szCs w:val="24"/>
              </w:rPr>
            </w:r>
            <w:r>
              <w:rPr>
                <w:rFonts w:hint="eastAsia" w:cs="仿宋_GB2312"/>
                <w:color w:val="000000"/>
                <w:sz w:val="24"/>
                <w:szCs w:val="24"/>
              </w:rPr>
            </w:r>
          </w:p>
          <w:p>
            <w:pPr>
              <w:pStyle w:val="797"/>
              <w:pBdr/>
              <w:spacing/>
              <w:ind w:firstLine="482"/>
              <w:rPr>
                <w:rFonts w:cs="仿宋_GB2312"/>
                <w:color w:val="000000"/>
                <w:sz w:val="24"/>
                <w:szCs w:val="24"/>
                <w:lang w:val="en-US"/>
              </w:rPr>
            </w:pPr>
            <w:r>
              <w:rPr>
                <w:rFonts w:hint="eastAsia" w:cs="仿宋_GB2312"/>
                <w:b/>
                <w:bCs/>
                <w:color w:val="000000"/>
                <w:sz w:val="24"/>
                <w:szCs w:val="24"/>
                <w:lang w:val="en-US"/>
              </w:rPr>
              <w:t xml:space="preserve">10、齐星汽车车身公司新一代汽车驾驶室技术研发及智能化生产线改造项目。</w:t>
            </w:r>
            <w:r>
              <w:rPr>
                <w:rFonts w:hint="eastAsia" w:cs="仿宋_GB2312"/>
                <w:color w:val="000000"/>
                <w:sz w:val="24"/>
                <w:szCs w:val="24"/>
                <w:lang w:val="en-US"/>
              </w:rPr>
              <w:t xml:space="preserve">购置3D激光切割机器人和激光切割设备、自动冲压设备及模具、加工辅助设备，新建自动剪切线、自动联运冲压线、自动零部件焊接线。</w:t>
            </w:r>
            <w:r>
              <w:rPr>
                <w:rFonts w:cs="仿宋_GB2312"/>
                <w:color w:val="000000"/>
                <w:sz w:val="24"/>
                <w:szCs w:val="24"/>
                <w:lang w:val="en-US"/>
              </w:rPr>
            </w:r>
            <w:r>
              <w:rPr>
                <w:rFonts w:cs="仿宋_GB2312"/>
                <w:color w:val="000000"/>
                <w:sz w:val="24"/>
                <w:szCs w:val="24"/>
                <w:lang w:val="en-US"/>
              </w:rPr>
            </w:r>
          </w:p>
        </w:tc>
      </w:tr>
    </w:tbl>
    <w:p>
      <w:pPr>
        <w:pStyle w:val="737"/>
        <w:pBdr/>
        <w:spacing/>
        <w:ind w:firstLine="640"/>
        <w:rPr>
          <w:color w:val="000000"/>
        </w:rPr>
      </w:pP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农产品加工业</w:t>
      </w:r>
      <w:r>
        <w:rPr>
          <w:rFonts w:hint="eastAsia" w:cs="仿宋_GB2312"/>
          <w:b/>
          <w:bCs/>
          <w:color w:val="000000"/>
        </w:rPr>
        <w:t xml:space="preserve">。</w:t>
      </w:r>
      <w:r>
        <w:rPr>
          <w:rFonts w:hint="eastAsia" w:cs="仿宋_GB2312"/>
          <w:color w:val="000000"/>
        </w:rPr>
        <w:t xml:space="preserve">深入实施主体培育和农产品加工千亿产业工程，推进农产品加工企业</w:t>
      </w:r>
      <w:r>
        <w:rPr>
          <w:color w:val="000000"/>
        </w:rPr>
        <w:t xml:space="preserve">“</w:t>
      </w:r>
      <w:r>
        <w:rPr>
          <w:rFonts w:hint="eastAsia" w:cs="仿宋_GB2312"/>
          <w:color w:val="000000"/>
        </w:rPr>
        <w:t xml:space="preserve">小进规、规壮大、大变强</w:t>
      </w:r>
      <w:r>
        <w:rPr>
          <w:color w:val="000000"/>
        </w:rPr>
        <w:t xml:space="preserve">”</w:t>
      </w:r>
      <w:r>
        <w:rPr>
          <w:rFonts w:hint="eastAsia" w:cs="仿宋_GB2312"/>
          <w:color w:val="000000"/>
        </w:rPr>
        <w:t xml:space="preserve">，引导龙头企业采取兼并重组、股份合作、资产转让等形式，建立产业集群与企业集团，将随州建设成为</w:t>
      </w:r>
      <w:r>
        <w:rPr>
          <w:color w:val="000000"/>
        </w:rPr>
        <w:t xml:space="preserve">“</w:t>
      </w:r>
      <w:r>
        <w:rPr>
          <w:rFonts w:hint="eastAsia" w:cs="仿宋_GB2312"/>
          <w:color w:val="000000"/>
        </w:rPr>
        <w:t xml:space="preserve">优质农产品加工出口基地</w:t>
      </w:r>
      <w:r>
        <w:rPr>
          <w:color w:val="000000"/>
        </w:rPr>
        <w:t xml:space="preserve">”</w:t>
      </w:r>
      <w:r>
        <w:rPr>
          <w:rFonts w:hint="eastAsia"/>
          <w:color w:val="000000"/>
        </w:rPr>
        <w:t xml:space="preserve">，</w:t>
      </w:r>
      <w:r>
        <w:rPr>
          <w:rFonts w:hint="eastAsia" w:cs="仿宋_GB2312"/>
          <w:color w:val="000000"/>
        </w:rPr>
        <w:t xml:space="preserve">打造在全国具有影响力的现代农港，</w:t>
      </w:r>
      <w:r>
        <w:rPr>
          <w:rFonts w:hint="eastAsia" w:cs="仿宋_GB2312"/>
          <w:color w:val="000000"/>
          <w:lang w:val="en-US"/>
        </w:rPr>
        <w:t xml:space="preserve">到</w:t>
      </w:r>
      <w:r>
        <w:rPr>
          <w:color w:val="000000"/>
          <w:lang w:val="en-US"/>
        </w:rPr>
        <w:t xml:space="preserve">2025</w:t>
      </w:r>
      <w:r>
        <w:rPr>
          <w:rFonts w:hint="eastAsia" w:cs="仿宋_GB2312"/>
          <w:color w:val="000000"/>
          <w:lang w:val="en-US"/>
        </w:rPr>
        <w:t xml:space="preserve">年，</w:t>
      </w:r>
      <w:r>
        <w:rPr>
          <w:rFonts w:hint="eastAsia" w:cs="仿宋_GB2312"/>
          <w:color w:val="000000"/>
        </w:rPr>
        <w:t xml:space="preserve">力争农产品加工规模以上企业</w:t>
      </w:r>
      <w:r>
        <w:rPr>
          <w:color w:val="000000"/>
        </w:rPr>
        <w:t xml:space="preserve">250</w:t>
      </w:r>
      <w:r>
        <w:rPr>
          <w:rFonts w:hint="eastAsia" w:cs="仿宋_GB2312"/>
          <w:color w:val="000000"/>
        </w:rPr>
        <w:t xml:space="preserve">家以上，</w:t>
      </w:r>
      <w:r>
        <w:rPr>
          <w:rFonts w:hint="eastAsia" w:cs="仿宋_GB2312"/>
          <w:color w:val="000000"/>
          <w:lang w:val="en-US"/>
        </w:rPr>
        <w:t xml:space="preserve">规模以上农产品加工企业年加工值达到</w:t>
      </w:r>
      <w:r>
        <w:rPr>
          <w:color w:val="000000"/>
          <w:lang w:val="en-US"/>
        </w:rPr>
        <w:t xml:space="preserve">1000</w:t>
      </w:r>
      <w:r>
        <w:rPr>
          <w:rFonts w:hint="eastAsia" w:cs="仿宋_GB2312"/>
          <w:color w:val="000000"/>
          <w:lang w:val="en-US"/>
        </w:rPr>
        <w:t xml:space="preserve">亿元以上；</w:t>
      </w:r>
      <w:r>
        <w:rPr>
          <w:rFonts w:hint="eastAsia" w:cs="仿宋_GB2312"/>
          <w:color w:val="000000"/>
        </w:rPr>
        <w:t xml:space="preserve">培育农产品出口龙头企业</w:t>
      </w:r>
      <w:r>
        <w:rPr>
          <w:color w:val="000000"/>
        </w:rPr>
        <w:t xml:space="preserve">60</w:t>
      </w:r>
      <w:r>
        <w:rPr>
          <w:rFonts w:hint="eastAsia" w:cs="仿宋_GB2312"/>
          <w:color w:val="000000"/>
        </w:rPr>
        <w:t xml:space="preserve">家以上</w:t>
      </w:r>
      <w:r>
        <w:rPr>
          <w:rFonts w:hint="eastAsia" w:cs="仿宋_GB2312"/>
          <w:color w:val="000000"/>
          <w:lang w:val="en-US"/>
        </w:rPr>
        <w:t xml:space="preserve">，农产品出口额达到</w:t>
      </w:r>
      <w:r>
        <w:rPr>
          <w:color w:val="000000"/>
          <w:lang w:val="en-US"/>
        </w:rPr>
        <w:t xml:space="preserve">10</w:t>
      </w:r>
      <w:r>
        <w:rPr>
          <w:rFonts w:hint="eastAsia" w:cs="仿宋_GB2312"/>
          <w:color w:val="000000"/>
          <w:lang w:val="en-US"/>
        </w:rPr>
        <w:t xml:space="preserve">亿美元。实施</w:t>
      </w:r>
      <w:r>
        <w:rPr>
          <w:color w:val="000000"/>
          <w:lang w:val="en-US"/>
        </w:rPr>
        <w:t xml:space="preserve">“</w:t>
      </w:r>
      <w:r>
        <w:rPr>
          <w:rFonts w:hint="eastAsia" w:cs="仿宋_GB2312"/>
          <w:color w:val="000000"/>
          <w:lang w:val="en-US"/>
        </w:rPr>
        <w:t xml:space="preserve">六个一</w:t>
      </w:r>
      <w:r>
        <w:rPr>
          <w:color w:val="000000"/>
          <w:lang w:val="en-US"/>
        </w:rPr>
        <w:t xml:space="preserve">”</w:t>
      </w:r>
      <w:r>
        <w:rPr>
          <w:rFonts w:hint="eastAsia" w:cs="仿宋_GB2312"/>
          <w:color w:val="000000"/>
          <w:lang w:val="en-US"/>
        </w:rPr>
        <w:t xml:space="preserve">产业培育工程，围绕随州“两香一油”（香菇、香稻、油茶）、生猪、肉鸡、茶叶等特色农业，重点发展</w:t>
      </w:r>
      <w:r>
        <w:rPr>
          <w:color w:val="000000"/>
          <w:lang w:val="en-US"/>
        </w:rPr>
        <w:t xml:space="preserve">“</w:t>
      </w:r>
      <w:r>
        <w:rPr>
          <w:rFonts w:hint="eastAsia" w:cs="仿宋_GB2312"/>
          <w:color w:val="000000"/>
          <w:lang w:val="en-US"/>
        </w:rPr>
        <w:t xml:space="preserve">一朵菇</w:t>
      </w:r>
      <w:r>
        <w:rPr>
          <w:color w:val="000000"/>
          <w:lang w:val="en-US"/>
        </w:rPr>
        <w:t xml:space="preserve">”“</w:t>
      </w:r>
      <w:r>
        <w:rPr>
          <w:rFonts w:hint="eastAsia" w:cs="仿宋_GB2312"/>
          <w:color w:val="000000"/>
          <w:lang w:val="en-US"/>
        </w:rPr>
        <w:t xml:space="preserve">一袋粮</w:t>
      </w:r>
      <w:r>
        <w:rPr>
          <w:color w:val="000000"/>
          <w:lang w:val="en-US"/>
        </w:rPr>
        <w:t xml:space="preserve">”“</w:t>
      </w:r>
      <w:r>
        <w:rPr>
          <w:rFonts w:hint="eastAsia" w:cs="仿宋_GB2312"/>
          <w:color w:val="000000"/>
          <w:lang w:val="en-US"/>
        </w:rPr>
        <w:t xml:space="preserve">一壶油</w:t>
      </w:r>
      <w:r>
        <w:rPr>
          <w:color w:val="000000"/>
          <w:lang w:val="en-US"/>
        </w:rPr>
        <w:t xml:space="preserve">”“</w:t>
      </w:r>
      <w:r>
        <w:rPr>
          <w:rFonts w:hint="eastAsia" w:cs="仿宋_GB2312"/>
          <w:color w:val="000000"/>
          <w:lang w:val="en-US"/>
        </w:rPr>
        <w:t xml:space="preserve">一头猪</w:t>
      </w:r>
      <w:r>
        <w:rPr>
          <w:color w:val="000000"/>
          <w:lang w:val="en-US"/>
        </w:rPr>
        <w:t xml:space="preserve">”“</w:t>
      </w:r>
      <w:r>
        <w:rPr>
          <w:rFonts w:hint="eastAsia" w:cs="仿宋_GB2312"/>
          <w:color w:val="000000"/>
          <w:lang w:val="en-US"/>
        </w:rPr>
        <w:t xml:space="preserve">一只鸡</w:t>
      </w:r>
      <w:r>
        <w:rPr>
          <w:color w:val="000000"/>
          <w:lang w:val="en-US"/>
        </w:rPr>
        <w:t xml:space="preserve">”“</w:t>
      </w:r>
      <w:r>
        <w:rPr>
          <w:rFonts w:hint="eastAsia" w:cs="仿宋_GB2312"/>
          <w:color w:val="000000"/>
          <w:lang w:val="en-US"/>
        </w:rPr>
        <w:t xml:space="preserve">一杯茶</w:t>
      </w:r>
      <w:r>
        <w:rPr>
          <w:color w:val="000000"/>
          <w:lang w:val="en-US"/>
        </w:rPr>
        <w:t xml:space="preserve">”</w:t>
      </w:r>
      <w:r>
        <w:rPr>
          <w:rFonts w:hint="eastAsia" w:cs="仿宋_GB2312"/>
          <w:color w:val="000000"/>
          <w:lang w:val="en-US"/>
        </w:rPr>
        <w:t xml:space="preserve">等</w:t>
      </w:r>
      <w:r>
        <w:rPr>
          <w:color w:val="000000"/>
          <w:lang w:val="en-US"/>
        </w:rPr>
        <w:t xml:space="preserve">“</w:t>
      </w:r>
      <w:r>
        <w:rPr>
          <w:rFonts w:hint="eastAsia" w:cs="仿宋_GB2312"/>
          <w:color w:val="000000"/>
          <w:lang w:val="en-US"/>
        </w:rPr>
        <w:t xml:space="preserve">六个一</w:t>
      </w:r>
      <w:r>
        <w:rPr>
          <w:color w:val="000000"/>
          <w:lang w:val="en-US"/>
        </w:rPr>
        <w:t xml:space="preserve">”</w:t>
      </w:r>
      <w:r>
        <w:rPr>
          <w:rFonts w:hint="eastAsia" w:cs="仿宋_GB2312"/>
          <w:color w:val="000000"/>
          <w:lang w:val="en-US"/>
        </w:rPr>
        <w:t xml:space="preserve">产业，推动特色优势农产品走以外循环为主体、品牌化推进的国内国际双循环发展之路。</w:t>
      </w:r>
      <w:r>
        <w:rPr>
          <w:rFonts w:hint="eastAsia" w:cs="仿宋_GB2312"/>
          <w:color w:val="000000"/>
        </w:rPr>
        <w:t xml:space="preserve">实施现代农业园区建设工程，统筹布局生产、加工、物流、研发、示范、服务等功能，促进产业格局由分散向集中、发展方式由粗放向集约、产业链条由单一向复合转变，发挥要素集聚和融合平台作用，培育产值超</w:t>
      </w:r>
      <w:r>
        <w:rPr>
          <w:color w:val="000000"/>
        </w:rPr>
        <w:t xml:space="preserve">100</w:t>
      </w:r>
      <w:r>
        <w:rPr>
          <w:rFonts w:hint="eastAsia" w:cs="仿宋_GB2312"/>
          <w:color w:val="000000"/>
        </w:rPr>
        <w:t xml:space="preserve">亿元的</w:t>
      </w:r>
      <w:r>
        <w:rPr>
          <w:color w:val="000000"/>
        </w:rPr>
        <w:t xml:space="preserve">“</w:t>
      </w:r>
      <w:r>
        <w:rPr>
          <w:rFonts w:hint="eastAsia" w:cs="仿宋_GB2312"/>
          <w:color w:val="000000"/>
        </w:rPr>
        <w:t xml:space="preserve">六个一</w:t>
      </w:r>
      <w:r>
        <w:rPr>
          <w:color w:val="000000"/>
        </w:rPr>
        <w:t xml:space="preserve">”</w:t>
      </w:r>
      <w:r>
        <w:rPr>
          <w:rFonts w:hint="eastAsia" w:cs="仿宋_GB2312"/>
          <w:color w:val="000000"/>
        </w:rPr>
        <w:t xml:space="preserve">现代农业产业园，建设新发地随州食品创新示范园区。</w:t>
      </w:r>
      <w:r>
        <w:rPr>
          <w:color w:val="000000"/>
        </w:rPr>
      </w:r>
      <w:r>
        <w:rPr>
          <w:color w:val="000000"/>
        </w:rPr>
      </w:r>
    </w:p>
    <w:p>
      <w:pPr>
        <w:pStyle w:val="737"/>
        <w:pBdr/>
        <w:spacing/>
        <w:ind w:firstLine="643"/>
        <w:rPr>
          <w:rFonts w:hint="eastAsia"/>
          <w:b/>
          <w:bCs/>
          <w:color w:val="000000"/>
        </w:rPr>
      </w:pPr>
      <w:r>
        <w:rPr>
          <w:rFonts w:ascii="Times New Roman" w:hAnsi="Times New Roman"/>
          <w:b/>
          <w:bCs/>
          <w:color w:val="000000"/>
        </w:rPr>
        <w:t xml:space="preserve">——“</w:t>
      </w:r>
      <w:r>
        <w:rPr>
          <w:rFonts w:hint="eastAsia" w:ascii="Times New Roman" w:hAnsi="Times New Roman"/>
          <w:b/>
          <w:bCs/>
          <w:color w:val="000000"/>
        </w:rPr>
        <w:t xml:space="preserve">一朵菇</w:t>
      </w:r>
      <w:r>
        <w:rPr>
          <w:rFonts w:ascii="Times New Roman" w:hAnsi="Times New Roman"/>
          <w:b/>
          <w:bCs/>
          <w:color w:val="000000"/>
        </w:rPr>
        <w:t xml:space="preserve">”</w:t>
      </w:r>
      <w:r>
        <w:rPr>
          <w:rFonts w:hint="eastAsia" w:ascii="楷体_GB2312" w:hAnsi="楷体_GB2312" w:eastAsia="楷体_GB2312" w:cs="楷体_GB2312"/>
          <w:b/>
          <w:bCs/>
          <w:color w:val="000000"/>
        </w:rPr>
        <w:t xml:space="preserve">。</w:t>
      </w:r>
      <w:r>
        <w:rPr>
          <w:rFonts w:hint="eastAsia" w:cs="仿宋_GB2312"/>
          <w:color w:val="000000"/>
        </w:rPr>
        <w:t xml:space="preserve">依托香菇产业联盟加大研发力度，围绕前端香菇棒集中制作、中</w:t>
      </w:r>
      <w:r>
        <w:rPr>
          <w:rFonts w:hint="eastAsia" w:cs="仿宋_GB2312"/>
          <w:color w:val="000000"/>
        </w:rPr>
        <w:t xml:space="preserve">端规模化种植、后端产品深加工，重点培育一批香菇加工企业，支持联丰、裕国等骨干香菇企业做大做强，品源现代建成全国同行业最大、产业链最完善的香菇深加工与出口企业。加快随州香菇博览园、湖北香菇研究院、全省农产品检测中心和线上“随州香菇馆”、随州香菇交易所建设，打造功能完备的香菇产业服务平台。抓好国家级香菇优势产业集群和香菇产业一二三融合发展示范区创建，高质量建设香菇现代产业园。支持香菇出口企业线上线下开拓国际市场，鼓励全市香菇企业在境外开设分支机构（子公司、分公司、办事处）和展示、批发、仓储、零售等营销服务网点。</w:t>
      </w:r>
      <w:r>
        <w:rPr>
          <w:rFonts w:hint="eastAsia"/>
          <w:b/>
          <w:bCs/>
          <w:color w:val="000000"/>
        </w:rPr>
      </w:r>
      <w:r>
        <w:rPr>
          <w:rFonts w:hint="eastAsia"/>
          <w:b/>
          <w:bCs/>
          <w:color w:val="000000"/>
        </w:rPr>
      </w:r>
    </w:p>
    <w:p>
      <w:pPr>
        <w:pStyle w:val="737"/>
        <w:pBdr/>
        <w:spacing/>
        <w:ind w:firstLine="643"/>
        <w:rPr>
          <w:rFonts w:hint="eastAsia" w:cs="仿宋_GB2312"/>
          <w:color w:val="000000"/>
        </w:rPr>
      </w:pPr>
      <w:r>
        <w:rPr>
          <w:rFonts w:ascii="Times New Roman" w:hAnsi="Times New Roman"/>
          <w:b/>
          <w:bCs/>
          <w:color w:val="000000"/>
        </w:rPr>
        <w:t xml:space="preserve">——“</w:t>
      </w:r>
      <w:r>
        <w:rPr>
          <w:rFonts w:hint="eastAsia" w:ascii="Times New Roman" w:hAnsi="Times New Roman"/>
          <w:b/>
          <w:bCs/>
          <w:color w:val="000000"/>
        </w:rPr>
        <w:t xml:space="preserve">一袋粮</w:t>
      </w:r>
      <w:r>
        <w:rPr>
          <w:rFonts w:ascii="Times New Roman" w:hAnsi="Times New Roman"/>
          <w:b/>
          <w:bCs/>
          <w:color w:val="000000"/>
        </w:rPr>
        <w:t xml:space="preserve">”</w:t>
      </w:r>
      <w:r>
        <w:rPr>
          <w:rFonts w:hint="eastAsia" w:cs="仿宋_GB2312"/>
          <w:color w:val="000000"/>
        </w:rPr>
        <w:t xml:space="preserve">。积极引导湖北现代农业、大自然米业、殷店米业、鄂北米业、金禾米业等一批粮食加工龙头企业大力提高产品精深加工能力，加快实现品种、品质、品牌升级发展，支持金银丰集团打造全省最大的面粉加工企业。引导粮食加工向酿造等领域延伸，培育发展酿酒产业，支持青啤随州公司、</w:t>
      </w:r>
      <w:r>
        <w:rPr>
          <w:rFonts w:hint="eastAsia" w:cs="仿宋_GB2312"/>
          <w:color w:val="000000"/>
          <w:lang w:val="en-US"/>
        </w:rPr>
        <w:t xml:space="preserve">随州黄鹤楼酒业进一步做大规模</w:t>
      </w:r>
      <w:r>
        <w:rPr>
          <w:rFonts w:hint="eastAsia" w:cs="仿宋_GB2312"/>
          <w:color w:val="000000"/>
        </w:rPr>
        <w:t xml:space="preserve">，万福酒业加快招商重组步伐。</w:t>
      </w:r>
      <w:r>
        <w:rPr>
          <w:rFonts w:hint="eastAsia" w:cs="仿宋_GB2312"/>
          <w:color w:val="000000"/>
        </w:rPr>
      </w:r>
      <w:r>
        <w:rPr>
          <w:rFonts w:hint="eastAsia" w:cs="仿宋_GB2312"/>
          <w:color w:val="000000"/>
        </w:rPr>
      </w:r>
    </w:p>
    <w:p>
      <w:pPr>
        <w:pStyle w:val="737"/>
        <w:pBdr/>
        <w:spacing/>
        <w:ind w:firstLine="643"/>
        <w:rPr>
          <w:color w:val="000000"/>
        </w:rPr>
      </w:pPr>
      <w:r>
        <w:rPr>
          <w:rFonts w:ascii="Times New Roman" w:hAnsi="Times New Roman"/>
          <w:b/>
          <w:bCs/>
          <w:color w:val="000000"/>
        </w:rPr>
        <w:t xml:space="preserve">——“</w:t>
      </w:r>
      <w:r>
        <w:rPr>
          <w:rFonts w:hint="eastAsia" w:ascii="Times New Roman" w:hAnsi="Times New Roman"/>
          <w:b/>
          <w:bCs/>
          <w:color w:val="000000"/>
        </w:rPr>
        <w:t xml:space="preserve">一壶油</w:t>
      </w:r>
      <w:r>
        <w:rPr>
          <w:rFonts w:ascii="Times New Roman" w:hAnsi="Times New Roman"/>
          <w:b/>
          <w:bCs/>
          <w:color w:val="000000"/>
        </w:rPr>
        <w:t xml:space="preserve">”</w:t>
      </w:r>
      <w:r>
        <w:rPr>
          <w:rFonts w:hint="eastAsia" w:cs="仿宋_GB2312"/>
          <w:color w:val="000000"/>
        </w:rPr>
        <w:t xml:space="preserve">。推广油料低温冷榨、油料挤压膨化、逆流冷却干燥等新技术新设备，推动油料生产向现代规模精深加工转变。支持湖北现代农业、舜天粮油、田丰农业打造成全国稻米油产业领先企业和全国重要的油茶精深加工企业，将随州打造成全国重要的优质食用油产业基地。</w:t>
      </w:r>
      <w:r>
        <w:rPr>
          <w:color w:val="000000"/>
        </w:rPr>
      </w:r>
      <w:r>
        <w:rPr>
          <w:color w:val="000000"/>
        </w:rPr>
      </w:r>
    </w:p>
    <w:p>
      <w:pPr>
        <w:pStyle w:val="737"/>
        <w:pBdr/>
        <w:spacing/>
        <w:ind w:firstLine="643"/>
        <w:rPr>
          <w:color w:val="000000"/>
        </w:rPr>
      </w:pPr>
      <w:r>
        <w:rPr>
          <w:rFonts w:ascii="Times New Roman" w:hAnsi="Times New Roman"/>
          <w:b/>
          <w:bCs/>
          <w:color w:val="000000"/>
        </w:rPr>
        <w:t xml:space="preserve">——“</w:t>
      </w:r>
      <w:r>
        <w:rPr>
          <w:rFonts w:hint="eastAsia" w:ascii="Times New Roman" w:hAnsi="Times New Roman"/>
          <w:b/>
          <w:bCs/>
          <w:color w:val="000000"/>
        </w:rPr>
        <w:t xml:space="preserve">一头猪</w:t>
      </w:r>
      <w:r>
        <w:rPr>
          <w:rFonts w:ascii="Times New Roman" w:hAnsi="Times New Roman"/>
          <w:b/>
          <w:bCs/>
          <w:color w:val="000000"/>
        </w:rPr>
        <w:t xml:space="preserve">”</w:t>
      </w:r>
      <w:r>
        <w:rPr>
          <w:rFonts w:hint="eastAsia" w:cs="仿宋_GB2312"/>
          <w:color w:val="000000"/>
        </w:rPr>
        <w:t xml:space="preserve">。支持共富牧业、广水中粮发展壮大，建成百万头生猪屠宰、加工、冷藏车间，大幅提升我市肉制品加工储运产能，将随州打造成全省领先的生猪产业基地。</w:t>
      </w:r>
      <w:r>
        <w:rPr>
          <w:color w:val="000000"/>
        </w:rPr>
      </w:r>
      <w:r>
        <w:rPr>
          <w:color w:val="000000"/>
        </w:rPr>
      </w:r>
    </w:p>
    <w:p>
      <w:pPr>
        <w:pStyle w:val="737"/>
        <w:pBdr/>
        <w:spacing/>
        <w:ind w:firstLine="643"/>
        <w:rPr>
          <w:color w:val="000000"/>
        </w:rPr>
      </w:pPr>
      <w:r>
        <w:rPr>
          <w:rFonts w:ascii="Times New Roman" w:hAnsi="Times New Roman"/>
          <w:b/>
          <w:bCs/>
          <w:color w:val="000000"/>
        </w:rPr>
        <w:t xml:space="preserve">——</w:t>
      </w:r>
      <w:r>
        <w:rPr>
          <w:rFonts w:hint="eastAsia" w:ascii="Times New Roman" w:hAnsi="Times New Roman"/>
          <w:b/>
          <w:bCs/>
          <w:color w:val="000000"/>
        </w:rPr>
        <w:t xml:space="preserve">“一只鸡”</w:t>
      </w:r>
      <w:r>
        <w:rPr>
          <w:rFonts w:hint="eastAsia" w:cs="仿宋_GB2312"/>
          <w:color w:val="000000"/>
        </w:rPr>
        <w:t xml:space="preserve">。支持湖北正大扩大养殖规模</w:t>
      </w:r>
      <w:r>
        <w:rPr>
          <w:rFonts w:hint="eastAsia" w:cs="仿宋_GB2312"/>
          <w:color w:val="000000"/>
          <w:lang w:eastAsia="zh-CN"/>
        </w:rPr>
        <w:t xml:space="preserve">，加快推进“亿只鸡</w:t>
      </w:r>
      <w:r>
        <w:rPr>
          <w:rFonts w:hint="eastAsia" w:cs="仿宋_GB2312"/>
          <w:color w:val="000000"/>
          <w:lang w:val="en-US" w:eastAsia="zh-CN"/>
        </w:rPr>
        <w:t xml:space="preserve">”工程，</w:t>
      </w:r>
      <w:r>
        <w:rPr>
          <w:rFonts w:hint="eastAsia" w:cs="仿宋_GB2312"/>
          <w:color w:val="000000"/>
          <w:lang w:eastAsia="zh-CN"/>
        </w:rPr>
        <w:t xml:space="preserve">实施</w:t>
      </w:r>
      <w:r>
        <w:rPr>
          <w:rFonts w:hint="eastAsia" w:cs="仿宋_GB2312"/>
          <w:color w:val="000000"/>
        </w:rPr>
        <w:t xml:space="preserve">副产物</w:t>
      </w:r>
      <w:r>
        <w:rPr>
          <w:rFonts w:hint="eastAsia" w:cs="仿宋_GB2312"/>
          <w:color w:val="000000"/>
          <w:lang w:eastAsia="zh-CN"/>
        </w:rPr>
        <w:t xml:space="preserve">综合</w:t>
      </w:r>
      <w:r>
        <w:rPr>
          <w:rFonts w:hint="eastAsia" w:cs="仿宋_GB2312"/>
          <w:color w:val="000000"/>
        </w:rPr>
        <w:t xml:space="preserve">利用</w:t>
      </w:r>
      <w:r>
        <w:rPr>
          <w:rFonts w:hint="eastAsia" w:cs="仿宋_GB2312"/>
          <w:color w:val="000000"/>
          <w:lang w:eastAsia="zh-CN"/>
        </w:rPr>
        <w:t xml:space="preserve">项目，开发</w:t>
      </w:r>
      <w:r>
        <w:rPr>
          <w:rFonts w:hint="eastAsia" w:cs="仿宋_GB2312"/>
          <w:color w:val="000000"/>
        </w:rPr>
        <w:t xml:space="preserve">有机肥加工，将随州打造成中南地区产业链最完善</w:t>
      </w:r>
      <w:r>
        <w:rPr>
          <w:rFonts w:hint="eastAsia" w:cs="仿宋_GB2312"/>
          <w:color w:val="000000"/>
          <w:lang w:eastAsia="zh-CN"/>
        </w:rPr>
        <w:t xml:space="preserve">的</w:t>
      </w:r>
      <w:r>
        <w:rPr>
          <w:rFonts w:hint="eastAsia" w:cs="仿宋_GB2312"/>
          <w:color w:val="000000"/>
        </w:rPr>
        <w:t xml:space="preserve">肉鸡产业基地。</w:t>
      </w:r>
      <w:r>
        <w:rPr>
          <w:color w:val="000000"/>
        </w:rPr>
      </w:r>
      <w:r>
        <w:rPr>
          <w:color w:val="000000"/>
        </w:rPr>
      </w:r>
    </w:p>
    <w:p>
      <w:pPr>
        <w:pStyle w:val="737"/>
        <w:pBdr/>
        <w:spacing/>
        <w:ind w:firstLine="643"/>
        <w:rPr>
          <w:rFonts w:hint="eastAsia"/>
          <w:color w:val="000000"/>
        </w:rPr>
      </w:pPr>
      <w:r>
        <w:rPr>
          <w:rFonts w:ascii="Times New Roman" w:hAnsi="Times New Roman"/>
          <w:b/>
          <w:bCs/>
          <w:color w:val="000000"/>
        </w:rPr>
        <w:t xml:space="preserve">——</w:t>
      </w:r>
      <w:r>
        <w:rPr>
          <w:rFonts w:hint="eastAsia" w:ascii="Times New Roman" w:hAnsi="Times New Roman"/>
          <w:b/>
          <w:bCs/>
          <w:color w:val="000000"/>
        </w:rPr>
        <w:t xml:space="preserve">“一杯茶”</w:t>
      </w:r>
      <w:r>
        <w:rPr>
          <w:rFonts w:hint="eastAsia" w:cs="仿宋_GB2312"/>
          <w:color w:val="000000"/>
        </w:rPr>
        <w:t xml:space="preserve">。依托中兴食品、神农茶业、杨林沟茶场等茶叶企业，大力发展茶叶提取物技术，开发茶多酚、茶皂素、茶氨酸等制剂原料，加快拓展国内国际市场，将随州打造成全省茶叶深加工出口基地，到</w:t>
      </w:r>
      <w:r>
        <w:rPr>
          <w:rFonts w:hint="eastAsia" w:cs="仿宋_GB2312"/>
          <w:color w:val="000000"/>
          <w:lang w:val="en-US"/>
        </w:rPr>
        <w:t xml:space="preserve">2025年</w:t>
      </w:r>
      <w:r>
        <w:rPr>
          <w:rFonts w:hint="eastAsia" w:cs="仿宋_GB2312"/>
          <w:color w:val="000000"/>
        </w:rPr>
        <w:t xml:space="preserve">茶叶出口达到</w:t>
      </w:r>
      <w:r>
        <w:rPr>
          <w:color w:val="000000"/>
        </w:rPr>
        <w:t xml:space="preserve">1.5</w:t>
      </w:r>
      <w:r>
        <w:rPr>
          <w:rFonts w:hint="eastAsia" w:cs="仿宋_GB2312"/>
          <w:color w:val="000000"/>
        </w:rPr>
        <w:t xml:space="preserve">亿美元。</w:t>
      </w:r>
      <w:r>
        <w:rPr>
          <w:rFonts w:hint="eastAsia"/>
          <w:color w:val="000000"/>
        </w:rPr>
      </w:r>
      <w:r>
        <w:rPr>
          <w:rFonts w:hint="eastAsia"/>
          <w:color w:val="000000"/>
        </w:rPr>
      </w:r>
    </w:p>
    <w:tbl>
      <w:tblPr>
        <w:tblW w:w="0" w:type="auto"/>
        <w:tblInd w:w="-1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4A0" w:firstRow="1" w:lastRow="0" w:firstColumn="1" w:lastColumn="0" w:noHBand="0" w:noVBand="1"/>
      </w:tblPr>
      <w:tblGrid>
        <w:gridCol w:w="8834"/>
      </w:tblGrid>
      <w:tr>
        <w:trPr/>
        <w:tc>
          <w:tcPr>
            <w:tcBorders/>
            <w:tcW w:w="8834" w:type="dxa"/>
            <w:vAlign w:val="top"/>
            <w:textDirection w:val="lrTb"/>
            <w:noWrap w:val="false"/>
          </w:tcPr>
          <w:p>
            <w:pPr>
              <w:pStyle w:val="797"/>
              <w:pBdr/>
              <w:spacing/>
              <w:ind w:firstLine="0"/>
              <w:jc w:val="center"/>
              <w:rPr>
                <w:b/>
                <w:bCs/>
                <w:color w:val="000000"/>
              </w:rPr>
            </w:pPr>
            <w:r>
              <w:rPr>
                <w:rFonts w:hint="eastAsia" w:cs="仿宋_GB2312"/>
                <w:b/>
                <w:bCs/>
                <w:color w:val="000000"/>
                <w:sz w:val="28"/>
                <w:szCs w:val="28"/>
              </w:rPr>
              <w:t xml:space="preserve">专栏二：农产品加工业重点项目</w:t>
            </w:r>
            <w:r>
              <w:rPr>
                <w:b/>
                <w:bCs/>
                <w:color w:val="000000"/>
              </w:rPr>
            </w:r>
            <w:r>
              <w:rPr>
                <w:b/>
                <w:bCs/>
                <w:color w:val="000000"/>
              </w:rPr>
            </w:r>
          </w:p>
        </w:tc>
      </w:tr>
      <w:tr>
        <w:trPr/>
        <w:tc>
          <w:tcPr>
            <w:tcBorders/>
            <w:tcW w:w="8834" w:type="dxa"/>
            <w:vAlign w:val="top"/>
            <w:textDirection w:val="lrTb"/>
            <w:noWrap w:val="false"/>
          </w:tcPr>
          <w:p>
            <w:pPr>
              <w:pStyle w:val="797"/>
              <w:pBdr/>
              <w:spacing/>
              <w:ind w:firstLine="482"/>
              <w:rPr>
                <w:rFonts w:hint="eastAsia"/>
                <w:color w:val="000000"/>
                <w:sz w:val="24"/>
                <w:szCs w:val="24"/>
                <w:lang w:val="en-US"/>
              </w:rPr>
            </w:pPr>
            <w:r>
              <w:rPr>
                <w:rFonts w:hint="eastAsia"/>
                <w:b/>
                <w:bCs/>
                <w:color w:val="000000"/>
                <w:sz w:val="24"/>
                <w:szCs w:val="24"/>
                <w:lang w:val="en-US"/>
              </w:rPr>
              <w:t xml:space="preserve">1、品源现代调味品工业园建设项目。</w:t>
            </w:r>
            <w:r>
              <w:rPr>
                <w:rFonts w:hint="eastAsia"/>
                <w:color w:val="000000"/>
                <w:sz w:val="24"/>
                <w:szCs w:val="24"/>
                <w:lang w:val="en-US"/>
              </w:rPr>
              <w:t xml:space="preserve">新建调味品全自动化生产车间、干制香菇车间及辣椒、花椒、大豆、花生、芝麻等辅料车间及冷库、普通仓库、研发检验中心、物流中心等。</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2、华中地区茶叶加工出口项目。</w:t>
            </w:r>
            <w:r>
              <w:rPr>
                <w:rFonts w:hint="eastAsia"/>
                <w:color w:val="000000"/>
                <w:sz w:val="24"/>
                <w:szCs w:val="24"/>
                <w:lang w:val="en-US"/>
              </w:rPr>
              <w:t xml:space="preserve">集中连片收购、建设12万亩标准茶园，新建10万平方米厂房、茶文化博览中心、茶叶研究院，新上自动化茶叶加工生产线。</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3、香思里年产10万吨面粉生产线应急加工仓储物流项目。</w:t>
            </w:r>
            <w:r>
              <w:rPr>
                <w:rFonts w:hint="eastAsia"/>
                <w:color w:val="000000"/>
                <w:sz w:val="24"/>
                <w:szCs w:val="24"/>
                <w:lang w:val="en-US"/>
              </w:rPr>
              <w:t xml:space="preserve">建设年产10万吨面粉车间、2条熟食生产线、4幢低温冷藏仓库、科技楼及高质量检测中心等。</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4、广水市粮食应急保障军粮配送服务中心项目。</w:t>
            </w:r>
            <w:r>
              <w:rPr>
                <w:rFonts w:hint="eastAsia"/>
                <w:color w:val="000000"/>
                <w:sz w:val="24"/>
                <w:szCs w:val="24"/>
                <w:lang w:val="en-US"/>
              </w:rPr>
              <w:t xml:space="preserve">建设应急指挥系统2套（含应急加工、应急配送、应急供应网点配套设施）、低温成品库2栋、冷库1栋、非油炸面食生产线1条、应急配送及装载车辆8台、军供一站式服务中心及展示厅，改建准低温库、低温库50栋（总仓容25</w:t>
            </w:r>
            <w:r>
              <w:rPr>
                <w:rFonts w:hint="eastAsia"/>
                <w:color w:val="000000"/>
                <w:sz w:val="24"/>
                <w:szCs w:val="24"/>
                <w:lang w:val="en-US" w:eastAsia="zh-CN"/>
              </w:rPr>
              <w:t xml:space="preserve">万</w:t>
            </w:r>
            <w:r>
              <w:rPr>
                <w:rFonts w:hint="eastAsia"/>
                <w:color w:val="000000"/>
                <w:sz w:val="24"/>
                <w:szCs w:val="24"/>
                <w:lang w:val="en-US"/>
              </w:rPr>
              <w:t xml:space="preserve">吨）及附属设施，新建4条空心奎面生产线、3条银丝贡面生产线。</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5、黄鹤楼酒业(随州)有限公司搬迁改造项目。</w:t>
            </w:r>
            <w:r>
              <w:rPr>
                <w:rFonts w:hint="eastAsia"/>
                <w:color w:val="000000"/>
                <w:sz w:val="24"/>
                <w:szCs w:val="24"/>
                <w:lang w:val="en-US"/>
              </w:rPr>
              <w:t xml:space="preserve">占地面积826亩,建设酿造车间、动力车间、制曲车间、包装车间、文化馆、原酒库存区等，新建12条现代化全自动生产线。</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6、大自然米业年产10万吨优质香米应急加工仓储物流项目。</w:t>
            </w:r>
            <w:r>
              <w:rPr>
                <w:rFonts w:hint="eastAsia"/>
                <w:color w:val="000000"/>
                <w:sz w:val="24"/>
                <w:szCs w:val="24"/>
                <w:lang w:val="en-US"/>
              </w:rPr>
              <w:t xml:space="preserve">建设稻谷低温烘干生产线、年产10万吨稻米自动化加工生产线、日处理1000吨原粮清理中心、3万吨低温储备、检验检测室、香稻种植培训中心、电子商务、物流配送等现代化设施。</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7、湖北共富百万头生猪食品产业链项目。</w:t>
            </w:r>
            <w:r>
              <w:rPr>
                <w:rFonts w:hint="eastAsia"/>
                <w:color w:val="000000"/>
                <w:sz w:val="24"/>
                <w:szCs w:val="24"/>
                <w:lang w:val="en-US"/>
              </w:rPr>
              <w:t xml:space="preserve">建设年生产加工分割冷冻、冷鲜肉制品69000吨的分割冷却车间以及库容2500吨的综合性冷库</w:t>
            </w:r>
            <w:r>
              <w:rPr>
                <w:rFonts w:hint="eastAsia"/>
                <w:color w:val="000000"/>
                <w:sz w:val="24"/>
                <w:szCs w:val="24"/>
                <w:lang w:val="en-US" w:eastAsia="zh-CN"/>
              </w:rPr>
              <w:t xml:space="preserve">。</w:t>
            </w:r>
            <w:r>
              <w:rPr>
                <w:rFonts w:hint="eastAsia"/>
                <w:color w:val="000000"/>
                <w:sz w:val="24"/>
                <w:szCs w:val="24"/>
                <w:lang w:val="en-US"/>
              </w:rPr>
              <w:t xml:space="preserve">建设锅炉房、机修物料间、无害化车间、胃容物处理间、废弃物暂存间等其他功能房间及污水处理站等环保设施</w:t>
            </w:r>
            <w:r>
              <w:rPr>
                <w:rFonts w:hint="eastAsia"/>
                <w:color w:val="000000"/>
                <w:sz w:val="24"/>
                <w:szCs w:val="24"/>
                <w:lang w:val="en-US" w:eastAsia="zh-CN"/>
              </w:rPr>
              <w:t xml:space="preserve">。</w:t>
            </w:r>
            <w:r>
              <w:rPr>
                <w:rFonts w:hint="eastAsia"/>
                <w:color w:val="000000"/>
                <w:sz w:val="24"/>
                <w:szCs w:val="24"/>
                <w:lang w:val="en-US"/>
              </w:rPr>
              <w:t xml:space="preserve">建设畜禽产品冷链物流中心，其中</w:t>
            </w:r>
            <w:r>
              <w:rPr>
                <w:rFonts w:hint="eastAsia"/>
                <w:color w:val="000000"/>
                <w:sz w:val="24"/>
                <w:szCs w:val="24"/>
                <w:lang w:val="en-US" w:eastAsia="zh-CN"/>
              </w:rPr>
              <w:t xml:space="preserve">：</w:t>
            </w:r>
            <w:r>
              <w:rPr>
                <w:rFonts w:hint="eastAsia"/>
                <w:color w:val="000000"/>
                <w:sz w:val="24"/>
                <w:szCs w:val="24"/>
                <w:lang w:val="en-US"/>
              </w:rPr>
              <w:t xml:space="preserve">低温冷库总库容5000吨，配套冻货分拣暂存发货区1座；高温冷库总库容5000吨，配套</w:t>
            </w:r>
            <w:r>
              <w:rPr>
                <w:rFonts w:hint="eastAsia"/>
                <w:color w:val="000000"/>
                <w:sz w:val="24"/>
                <w:szCs w:val="24"/>
                <w:lang w:val="en-US" w:eastAsia="zh-CN"/>
              </w:rPr>
              <w:t xml:space="preserve">蔬</w:t>
            </w:r>
            <w:r>
              <w:rPr>
                <w:rFonts w:hint="eastAsia"/>
                <w:color w:val="000000"/>
                <w:sz w:val="24"/>
                <w:szCs w:val="24"/>
                <w:lang w:val="en-US"/>
              </w:rPr>
              <w:t xml:space="preserve">菜水果分拣暂存发货区1座</w:t>
            </w:r>
            <w:r>
              <w:rPr>
                <w:rFonts w:hint="eastAsia"/>
                <w:color w:val="000000"/>
                <w:sz w:val="24"/>
                <w:szCs w:val="24"/>
                <w:lang w:val="en-US" w:eastAsia="zh-CN"/>
              </w:rPr>
              <w:t xml:space="preserve">。</w:t>
            </w:r>
            <w:r>
              <w:rPr>
                <w:rFonts w:hint="eastAsia"/>
                <w:color w:val="000000"/>
                <w:sz w:val="24"/>
                <w:szCs w:val="24"/>
                <w:lang w:val="en-US"/>
              </w:rPr>
              <w:t xml:space="preserve">建设综合楼1座。</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8、正大食品亿只鸡产业链延伸项目。</w:t>
            </w:r>
            <w:r>
              <w:rPr>
                <w:rFonts w:hint="eastAsia"/>
                <w:color w:val="000000"/>
                <w:sz w:val="24"/>
                <w:szCs w:val="24"/>
                <w:lang w:val="en-US"/>
              </w:rPr>
              <w:t xml:space="preserve">扩大孵化中心、养殖基地和熟食生产规模，新上10万吨有机化肥、鸡副产品综合利用、冷链物流等项目。</w:t>
            </w:r>
            <w:r>
              <w:rPr>
                <w:rFonts w:hint="eastAsia"/>
                <w:color w:val="000000"/>
                <w:sz w:val="24"/>
                <w:szCs w:val="24"/>
                <w:lang w:val="en-US"/>
              </w:rPr>
            </w:r>
            <w:r>
              <w:rPr>
                <w:rFonts w:hint="eastAsia"/>
                <w:color w:val="000000"/>
                <w:sz w:val="24"/>
                <w:szCs w:val="24"/>
                <w:lang w:val="en-US"/>
              </w:rPr>
            </w:r>
          </w:p>
          <w:p>
            <w:pPr>
              <w:pStyle w:val="797"/>
              <w:pBdr/>
              <w:spacing/>
              <w:ind w:firstLine="482"/>
              <w:rPr>
                <w:color w:val="000000"/>
                <w:sz w:val="24"/>
                <w:szCs w:val="24"/>
              </w:rPr>
            </w:pPr>
            <w:r>
              <w:rPr>
                <w:rFonts w:hint="eastAsia"/>
                <w:b/>
                <w:bCs/>
                <w:color w:val="000000"/>
                <w:sz w:val="24"/>
                <w:szCs w:val="24"/>
                <w:lang w:val="en-US"/>
              </w:rPr>
              <w:t xml:space="preserve">9</w:t>
            </w:r>
            <w:r>
              <w:rPr>
                <w:rFonts w:hint="eastAsia"/>
                <w:b/>
                <w:bCs/>
                <w:color w:val="000000"/>
                <w:sz w:val="24"/>
                <w:szCs w:val="24"/>
              </w:rPr>
              <w:t xml:space="preserve">、</w:t>
            </w:r>
            <w:r>
              <w:rPr>
                <w:b/>
                <w:bCs/>
                <w:color w:val="000000"/>
                <w:sz w:val="24"/>
                <w:szCs w:val="24"/>
              </w:rPr>
              <w:t xml:space="preserve">湖北省现代农业产业园建设项目。</w:t>
            </w:r>
            <w:r>
              <w:rPr>
                <w:rFonts w:hint="eastAsia"/>
                <w:color w:val="000000"/>
                <w:sz w:val="24"/>
                <w:szCs w:val="24"/>
              </w:rPr>
              <w:t xml:space="preserve">建设</w:t>
            </w:r>
            <w:r>
              <w:rPr>
                <w:color w:val="000000"/>
                <w:sz w:val="24"/>
                <w:szCs w:val="24"/>
              </w:rPr>
              <w:t xml:space="preserve">谷维素</w:t>
            </w:r>
            <w:r>
              <w:rPr>
                <w:rFonts w:hint="eastAsia"/>
                <w:color w:val="000000"/>
                <w:sz w:val="24"/>
                <w:szCs w:val="24"/>
                <w:lang w:eastAsia="zh-CN"/>
              </w:rPr>
              <w:t xml:space="preserve">、</w:t>
            </w:r>
            <w:r>
              <w:rPr>
                <w:color w:val="000000"/>
                <w:sz w:val="24"/>
                <w:szCs w:val="24"/>
              </w:rPr>
              <w:t xml:space="preserve">阿魏酸</w:t>
            </w:r>
            <w:r>
              <w:rPr>
                <w:rFonts w:hint="eastAsia"/>
                <w:color w:val="000000"/>
                <w:sz w:val="24"/>
                <w:szCs w:val="24"/>
                <w:lang w:eastAsia="zh-CN"/>
              </w:rPr>
              <w:t xml:space="preserve">、</w:t>
            </w:r>
            <w:r>
              <w:rPr>
                <w:color w:val="000000"/>
                <w:sz w:val="24"/>
                <w:szCs w:val="24"/>
              </w:rPr>
              <w:t xml:space="preserve">糠甾醇生产线</w:t>
            </w:r>
            <w:r>
              <w:rPr>
                <w:rFonts w:hint="eastAsia"/>
                <w:color w:val="000000"/>
                <w:sz w:val="24"/>
                <w:szCs w:val="24"/>
                <w:lang w:eastAsia="zh-CN"/>
              </w:rPr>
              <w:t xml:space="preserve">，</w:t>
            </w:r>
            <w:r>
              <w:rPr>
                <w:color w:val="000000"/>
                <w:sz w:val="24"/>
                <w:szCs w:val="24"/>
              </w:rPr>
              <w:t xml:space="preserve">谷维素制药厂</w:t>
            </w:r>
            <w:r>
              <w:rPr>
                <w:rFonts w:hint="eastAsia"/>
                <w:color w:val="000000"/>
                <w:sz w:val="24"/>
                <w:szCs w:val="24"/>
              </w:rPr>
              <w:t xml:space="preserve">，</w:t>
            </w:r>
            <w:r>
              <w:rPr>
                <w:color w:val="000000"/>
                <w:sz w:val="24"/>
                <w:szCs w:val="24"/>
              </w:rPr>
              <w:t xml:space="preserve">茶籽油生产线</w:t>
            </w:r>
            <w:r>
              <w:rPr>
                <w:rFonts w:hint="eastAsia"/>
                <w:color w:val="000000"/>
                <w:sz w:val="24"/>
                <w:szCs w:val="24"/>
                <w:lang w:eastAsia="zh-CN"/>
              </w:rPr>
              <w:t xml:space="preserve">及</w:t>
            </w:r>
            <w:r>
              <w:rPr>
                <w:color w:val="000000"/>
                <w:sz w:val="24"/>
                <w:szCs w:val="24"/>
              </w:rPr>
              <w:t xml:space="preserve">产品（药品、食品）研发检测中心</w:t>
            </w:r>
            <w:r>
              <w:rPr>
                <w:rFonts w:hint="eastAsia"/>
                <w:color w:val="000000"/>
                <w:sz w:val="24"/>
                <w:szCs w:val="24"/>
              </w:rPr>
              <w:t xml:space="preserve">，新建</w:t>
            </w:r>
            <w:r>
              <w:rPr>
                <w:color w:val="000000"/>
                <w:sz w:val="24"/>
                <w:szCs w:val="24"/>
              </w:rPr>
              <w:t xml:space="preserve">10万吨大米生产线和年产20万吨面粉生产线。</w:t>
            </w:r>
            <w:r>
              <w:rPr>
                <w:color w:val="000000"/>
                <w:sz w:val="24"/>
                <w:szCs w:val="24"/>
              </w:rPr>
            </w:r>
            <w:r>
              <w:rPr>
                <w:color w:val="000000"/>
                <w:sz w:val="24"/>
                <w:szCs w:val="24"/>
              </w:rPr>
            </w:r>
          </w:p>
          <w:p>
            <w:pPr>
              <w:pStyle w:val="797"/>
              <w:pBdr/>
              <w:spacing/>
              <w:ind w:firstLine="482"/>
              <w:rPr>
                <w:color w:val="000000"/>
                <w:sz w:val="24"/>
                <w:szCs w:val="24"/>
                <w:lang w:val="en-US"/>
              </w:rPr>
            </w:pPr>
            <w:r>
              <w:rPr>
                <w:rFonts w:hint="eastAsia"/>
                <w:b/>
                <w:bCs/>
                <w:color w:val="000000"/>
                <w:sz w:val="24"/>
                <w:szCs w:val="24"/>
                <w:lang w:val="en-US"/>
              </w:rPr>
              <w:t xml:space="preserve">10、联丰食品香菇制棒、菌种培育和栽培生产项目。</w:t>
            </w:r>
            <w:r>
              <w:rPr>
                <w:rFonts w:hint="eastAsia"/>
                <w:color w:val="000000"/>
                <w:sz w:val="24"/>
                <w:szCs w:val="24"/>
                <w:lang w:val="en-US"/>
              </w:rPr>
              <w:t xml:space="preserve">新建50家三级菌种厂，建设5万个香菇标准化生产大棚、20条香菇集中制棒标准化生产线及食用菌研发中心。</w:t>
            </w:r>
            <w:r>
              <w:rPr>
                <w:color w:val="000000"/>
                <w:sz w:val="24"/>
                <w:szCs w:val="24"/>
                <w:lang w:val="en-US"/>
              </w:rPr>
            </w:r>
            <w:r>
              <w:rPr>
                <w:color w:val="000000"/>
                <w:sz w:val="24"/>
                <w:szCs w:val="24"/>
                <w:lang w:val="en-US"/>
              </w:rPr>
            </w:r>
          </w:p>
        </w:tc>
      </w:tr>
    </w:tbl>
    <w:p>
      <w:pPr>
        <w:pStyle w:val="737"/>
        <w:pBdr/>
        <w:spacing/>
        <w:ind w:firstLine="640"/>
        <w:rPr>
          <w:color w:val="000000"/>
        </w:rPr>
      </w:pP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文化旅游业</w:t>
      </w:r>
      <w:r>
        <w:rPr>
          <w:rFonts w:hint="eastAsia" w:cs="仿宋_GB2312"/>
          <w:b/>
          <w:bCs/>
          <w:color w:val="000000"/>
        </w:rPr>
        <w:t xml:space="preserve">。</w:t>
      </w:r>
      <w:r>
        <w:rPr>
          <w:rFonts w:hint="eastAsia" w:cs="仿宋_GB2312"/>
          <w:color w:val="000000"/>
        </w:rPr>
        <w:t xml:space="preserve">推动炎帝文化、编钟文化、曾随文化等随州地方特色文化与旅游、农业、医疗、康养、体育等行业的深度融合发展，策划、储备、招商、建设一批</w:t>
      </w:r>
      <w:r>
        <w:rPr>
          <w:color w:val="000000"/>
        </w:rPr>
        <w:t xml:space="preserve">“</w:t>
      </w:r>
      <w:r>
        <w:rPr>
          <w:rFonts w:hint="eastAsia" w:cs="仿宋_GB2312"/>
          <w:color w:val="000000"/>
        </w:rPr>
        <w:t xml:space="preserve">文化</w:t>
      </w:r>
      <w:r>
        <w:rPr>
          <w:color w:val="000000"/>
        </w:rPr>
        <w:t xml:space="preserve">+”“</w:t>
      </w:r>
      <w:r>
        <w:rPr>
          <w:rFonts w:hint="eastAsia" w:cs="仿宋_GB2312"/>
          <w:color w:val="000000"/>
        </w:rPr>
        <w:t xml:space="preserve">旅游</w:t>
      </w:r>
      <w:r>
        <w:rPr>
          <w:color w:val="000000"/>
        </w:rPr>
        <w:t xml:space="preserve">+”</w:t>
      </w:r>
      <w:r>
        <w:rPr>
          <w:rFonts w:hint="eastAsia" w:cs="仿宋_GB2312"/>
          <w:color w:val="000000"/>
        </w:rPr>
        <w:t xml:space="preserve">产业融合项目，打造具有鲜明特色的产业形态，建设文化氛围浓厚、文化旅游产业竞争力强劲和服务配套设施完善</w:t>
      </w:r>
      <w:r>
        <w:rPr>
          <w:rFonts w:hint="eastAsia"/>
          <w:color w:val="000000"/>
        </w:rPr>
        <w:t xml:space="preserve">的</w:t>
      </w:r>
      <w:r>
        <w:rPr>
          <w:rFonts w:hint="eastAsia" w:cs="仿宋_GB2312"/>
          <w:color w:val="000000"/>
        </w:rPr>
        <w:t xml:space="preserve">全国重要优秀旅游目的地，年接待游客达到</w:t>
      </w:r>
      <w:r>
        <w:rPr>
          <w:color w:val="000000"/>
        </w:rPr>
        <w:t xml:space="preserve">5000</w:t>
      </w:r>
      <w:r>
        <w:rPr>
          <w:rFonts w:hint="eastAsia" w:cs="仿宋_GB2312"/>
          <w:color w:val="000000"/>
        </w:rPr>
        <w:t xml:space="preserve">万人次，旅游总收入达到</w:t>
      </w:r>
      <w:r>
        <w:rPr>
          <w:color w:val="000000"/>
        </w:rPr>
        <w:t xml:space="preserve">380</w:t>
      </w:r>
      <w:r>
        <w:rPr>
          <w:rFonts w:hint="eastAsia" w:cs="仿宋_GB2312"/>
          <w:color w:val="000000"/>
        </w:rPr>
        <w:t xml:space="preserve">亿元。</w:t>
      </w:r>
      <w:r>
        <w:rPr>
          <w:color w:val="000000"/>
        </w:rPr>
      </w:r>
      <w:r>
        <w:rPr>
          <w:color w:val="000000"/>
        </w:rPr>
      </w:r>
    </w:p>
    <w:p>
      <w:pPr>
        <w:pStyle w:val="737"/>
        <w:pBdr/>
        <w:spacing/>
        <w:ind w:firstLine="643"/>
        <w:rPr>
          <w:color w:val="000000"/>
        </w:rPr>
      </w:pPr>
      <w:r>
        <w:rPr>
          <w:rFonts w:ascii="Times New Roman" w:hAnsi="Times New Roman"/>
          <w:b/>
          <w:bCs/>
          <w:color w:val="000000"/>
        </w:rPr>
        <w:t xml:space="preserve">——</w:t>
      </w:r>
      <w:r>
        <w:rPr>
          <w:b/>
          <w:bCs/>
          <w:color w:val="000000"/>
        </w:rPr>
        <w:t xml:space="preserve">“</w:t>
      </w:r>
      <w:r>
        <w:rPr>
          <w:rFonts w:hint="eastAsia" w:cs="仿宋_GB2312"/>
          <w:b/>
          <w:bCs/>
          <w:color w:val="000000"/>
        </w:rPr>
        <w:t xml:space="preserve">旅游</w:t>
      </w:r>
      <w:r>
        <w:rPr>
          <w:b/>
          <w:bCs/>
          <w:color w:val="000000"/>
        </w:rPr>
        <w:t xml:space="preserve">+”</w:t>
      </w:r>
      <w:r>
        <w:rPr>
          <w:rFonts w:hint="eastAsia" w:cs="仿宋_GB2312"/>
          <w:b/>
          <w:bCs/>
          <w:color w:val="000000"/>
        </w:rPr>
        <w:t xml:space="preserve">融合工程</w:t>
      </w:r>
      <w:r>
        <w:rPr>
          <w:rFonts w:hint="eastAsia" w:cs="仿宋_GB2312"/>
          <w:color w:val="000000"/>
        </w:rPr>
        <w:t xml:space="preserve">。推动文旅融合、农旅融合、康旅融合、商旅融合、工旅融合、体旅融合，培育高端旅游业态，形成以旅游为引导的产业升级模式。加快旅游与文化深度融合，强化文物保护利用与旅游融合力度，加强与省内外知名文旅企业深度合作，高标准建设炎帝故里文化旅游区、擂鼓墩考古遗址公园，支持大洪山创建国家级旅游度假区。加快推进市博物馆功能综合提升，打造成为集展览、科研、教育、休闲、游憩功能于一体的文旅示范项目。推进中国国际乐器交易城、编钟大剧院、国家青铜文化展示中心、奥林匹克中心等文旅融合项目建设，建设成为文化旅游</w:t>
      </w:r>
      <w:r>
        <w:rPr>
          <w:color w:val="000000"/>
        </w:rPr>
        <w:t xml:space="preserve">“</w:t>
      </w:r>
      <w:r>
        <w:rPr>
          <w:rFonts w:hint="eastAsia" w:cs="仿宋_GB2312"/>
          <w:color w:val="000000"/>
        </w:rPr>
        <w:t xml:space="preserve">打卡地</w:t>
      </w:r>
      <w:r>
        <w:rPr>
          <w:color w:val="000000"/>
        </w:rPr>
        <w:t xml:space="preserve">”</w:t>
      </w:r>
      <w:r>
        <w:rPr>
          <w:rFonts w:hint="eastAsia" w:cs="仿宋_GB2312"/>
          <w:color w:val="000000"/>
        </w:rPr>
        <w:t xml:space="preserve">。加快旅游与城镇化、工业化、商贸业融合，推动建设编钟音乐小镇、青铜古镇、大洪山自在小镇等一批旅游综合体，积极利用裕国菇业神农药菌园、黄鹤楼酒业、青啤公司、神农酒业等开展工业旅游，积极发展商务会展旅游、美食购物旅游等旅游新业态。加快旅游与农业、林业、水利融合，大力发展观光农业、休闲农业、现代农庄、共享农庄、乡村民宿和乡村休闲度假等农旅融合业态。加快旅游与教育、卫生、体育、生态产业融合，大力开展红色旅游、康养旅游、体验式旅游和研学旅游。</w:t>
      </w:r>
      <w:r>
        <w:rPr>
          <w:color w:val="000000"/>
        </w:rPr>
      </w:r>
      <w:r>
        <w:rPr>
          <w:color w:val="000000"/>
        </w:rPr>
      </w:r>
    </w:p>
    <w:p>
      <w:pPr>
        <w:pStyle w:val="737"/>
        <w:pBdr/>
        <w:spacing w:line="580" w:lineRule="exact"/>
        <w:ind w:firstLine="643"/>
        <w:rPr>
          <w:rFonts w:hint="eastAsia" w:cs="仿宋_GB2312"/>
          <w:color w:val="000000"/>
        </w:rPr>
      </w:pPr>
      <w:r>
        <w:rPr>
          <w:rFonts w:ascii="Times New Roman" w:hAnsi="Times New Roman"/>
          <w:b/>
          <w:bCs/>
          <w:color w:val="000000"/>
        </w:rPr>
        <w:t xml:space="preserve">——</w:t>
      </w:r>
      <w:r>
        <w:rPr>
          <w:rFonts w:hint="eastAsia"/>
          <w:b/>
          <w:bCs/>
          <w:color w:val="000000"/>
        </w:rPr>
        <w:t xml:space="preserve">全域旅游创建工程</w:t>
      </w:r>
      <w:r>
        <w:rPr>
          <w:rFonts w:hint="eastAsia" w:cs="仿宋_GB2312"/>
          <w:color w:val="000000"/>
        </w:rPr>
        <w:t xml:space="preserve">。扩大世界华人炎帝故里寻根节影响力，举办曾侯乙编钟文化节、曾都区银杏节、随县香菇节、随县桃花节、随县牡丹节、广水马坪詹王美食节、广水桃源柿子节、大洪山山货节等文化旅游节庆活动，探索建立</w:t>
      </w:r>
      <w:r>
        <w:rPr>
          <w:color w:val="000000"/>
        </w:rPr>
        <w:t xml:space="preserve">“</w:t>
      </w:r>
      <w:r>
        <w:rPr>
          <w:rFonts w:hint="eastAsia" w:cs="仿宋_GB2312"/>
          <w:color w:val="000000"/>
        </w:rPr>
        <w:t xml:space="preserve">天天祭祀、月月有节、季季红火</w:t>
      </w:r>
      <w:r>
        <w:rPr>
          <w:color w:val="000000"/>
        </w:rPr>
        <w:t xml:space="preserve">”</w:t>
      </w:r>
      <w:r>
        <w:rPr>
          <w:rFonts w:hint="eastAsia" w:cs="仿宋_GB2312"/>
          <w:color w:val="000000"/>
        </w:rPr>
        <w:t xml:space="preserve">的活动长效机制。推行全天候旅游标准，大力发展文化游、生态游、山水游和乡村旅游，策划包装炎帝神农文化之旅、中医药文化之旅、茶文化之旅、编钟音乐文化之旅、青铜文化之旅，打造全时四季旅游胜地。开展全域旅游创建，积极创建全域旅游示范市，推进随县、大洪山创建国家全域旅游示范区，洪山镇、淮河镇、长岭镇等创建湖北省荆楚文旅名镇。整合优质旅游资源，发展以</w:t>
      </w:r>
      <w:r>
        <w:rPr>
          <w:color w:val="000000"/>
        </w:rPr>
        <w:t xml:space="preserve">“</w:t>
      </w:r>
      <w:r>
        <w:rPr>
          <w:rFonts w:hint="eastAsia" w:cs="仿宋_GB2312"/>
          <w:color w:val="000000"/>
        </w:rPr>
        <w:t xml:space="preserve">炎帝故里</w:t>
      </w:r>
      <w:r>
        <w:rPr>
          <w:color w:val="000000"/>
        </w:rPr>
        <w:t xml:space="preserve">”</w:t>
      </w:r>
      <w:r>
        <w:rPr>
          <w:rFonts w:hint="eastAsia" w:cs="仿宋_GB2312"/>
          <w:color w:val="000000"/>
        </w:rPr>
        <w:t xml:space="preserve">为核心，以</w:t>
      </w:r>
      <w:r>
        <w:rPr>
          <w:color w:val="000000"/>
        </w:rPr>
        <w:t xml:space="preserve">“</w:t>
      </w:r>
      <w:r>
        <w:rPr>
          <w:rFonts w:hint="eastAsia" w:cs="仿宋_GB2312"/>
          <w:color w:val="000000"/>
        </w:rPr>
        <w:t xml:space="preserve">编钟礼乐</w:t>
      </w:r>
      <w:r>
        <w:rPr>
          <w:color w:val="000000"/>
        </w:rPr>
        <w:t xml:space="preserve">”“</w:t>
      </w:r>
      <w:r>
        <w:rPr>
          <w:rFonts w:hint="eastAsia" w:cs="仿宋_GB2312"/>
          <w:color w:val="000000"/>
        </w:rPr>
        <w:t xml:space="preserve">千年银杏谷</w:t>
      </w:r>
      <w:r>
        <w:rPr>
          <w:color w:val="000000"/>
        </w:rPr>
        <w:t xml:space="preserve">”“</w:t>
      </w:r>
      <w:r>
        <w:rPr>
          <w:rFonts w:hint="eastAsia" w:cs="仿宋_GB2312"/>
          <w:color w:val="000000"/>
        </w:rPr>
        <w:t xml:space="preserve">西游神话</w:t>
      </w:r>
      <w:r>
        <w:rPr>
          <w:color w:val="000000"/>
        </w:rPr>
        <w:t xml:space="preserve">”“</w:t>
      </w:r>
      <w:r>
        <w:rPr>
          <w:rFonts w:hint="eastAsia"/>
          <w:color w:val="000000"/>
        </w:rPr>
        <w:t xml:space="preserve">中国车都</w:t>
      </w:r>
      <w:r>
        <w:rPr>
          <w:color w:val="000000"/>
        </w:rPr>
        <w:t xml:space="preserve">”“</w:t>
      </w:r>
      <w:r>
        <w:rPr>
          <w:rFonts w:hint="eastAsia"/>
          <w:color w:val="000000"/>
        </w:rPr>
        <w:t xml:space="preserve">山地康养</w:t>
      </w:r>
      <w:r>
        <w:rPr>
          <w:color w:val="000000"/>
        </w:rPr>
        <w:t xml:space="preserve">”</w:t>
      </w:r>
      <w:r>
        <w:rPr>
          <w:rFonts w:hint="eastAsia" w:cs="仿宋_GB2312"/>
          <w:color w:val="000000"/>
        </w:rPr>
        <w:t xml:space="preserve">为支撑的六大旅游品牌，打造全要素精品线路。</w:t>
      </w:r>
      <w:r>
        <w:rPr>
          <w:rFonts w:hint="eastAsia" w:cs="仿宋_GB2312"/>
          <w:color w:val="000000"/>
        </w:rPr>
      </w:r>
      <w:r>
        <w:rPr>
          <w:rFonts w:hint="eastAsia" w:cs="仿宋_GB2312"/>
          <w:color w:val="000000"/>
        </w:rPr>
      </w:r>
    </w:p>
    <w:p>
      <w:pPr>
        <w:pStyle w:val="737"/>
        <w:pBdr/>
        <w:spacing w:line="580" w:lineRule="exact"/>
        <w:ind w:firstLine="643"/>
        <w:rPr>
          <w:rFonts w:hint="eastAsia" w:cs="仿宋_GB2312"/>
          <w:color w:val="000000"/>
        </w:rPr>
      </w:pPr>
      <w:r>
        <w:rPr>
          <w:rFonts w:ascii="Times New Roman" w:hAnsi="Times New Roman"/>
          <w:b/>
          <w:bCs/>
          <w:color w:val="000000"/>
        </w:rPr>
        <w:t xml:space="preserve">——</w:t>
      </w:r>
      <w:r>
        <w:rPr>
          <w:rFonts w:hint="eastAsia" w:cs="仿宋_GB2312"/>
          <w:b/>
          <w:bCs/>
          <w:color w:val="000000"/>
        </w:rPr>
        <w:t xml:space="preserve">旅游品牌塑造工程</w:t>
      </w:r>
      <w:r>
        <w:rPr>
          <w:rFonts w:hint="eastAsia" w:cs="仿宋_GB2312"/>
          <w:color w:val="000000"/>
        </w:rPr>
        <w:t xml:space="preserve">。加快塑造以炎帝文化为核心的旅游品牌，打造多层次、全产业链的旅游品牌体系。构建以裕国菇业为代表的工业旅游品牌，以尚市桃花、牡丹及大洪山野樱花、随州蕙兰为代表的赏花游品</w:t>
      </w:r>
      <w:r>
        <w:rPr>
          <w:rFonts w:hint="eastAsia" w:cs="仿宋_GB2312"/>
          <w:color w:val="000000"/>
          <w:lang w:eastAsia="zh-CN"/>
        </w:rPr>
        <w:t xml:space="preserve">牌</w:t>
      </w:r>
      <w:r>
        <w:rPr>
          <w:rFonts w:hint="eastAsia" w:cs="仿宋_GB2312"/>
          <w:color w:val="000000"/>
        </w:rPr>
        <w:t xml:space="preserve">，以炎帝故里、市博物馆、西游记公园、云峰山茶场为主的研学游品牌，以洛阳千年银杏谷、广水桃源、万福店凤凰山为代表的乡村游品牌，以大洪山琵琶湖、徐家河旅游度假区为代表的水旅游品牌，以九口堰纪念馆、张体学随县纪念馆、太白会议旧址、</w:t>
      </w:r>
      <w:r>
        <w:rPr>
          <w:rFonts w:hint="eastAsia" w:cs="仿宋_GB2312"/>
          <w:color w:val="000000"/>
          <w:lang w:val="en-US"/>
        </w:rPr>
        <w:t xml:space="preserve">田王寨</w:t>
      </w:r>
      <w:r>
        <w:rPr>
          <w:rFonts w:hint="eastAsia" w:cs="仿宋_GB2312"/>
          <w:color w:val="000000"/>
        </w:rPr>
        <w:t xml:space="preserve">国家长征文化公园、广水市吴店镇尹家湾中共中央中原局旧址群为代表的红色游品牌。</w:t>
      </w:r>
      <w:r>
        <w:rPr>
          <w:rFonts w:hint="eastAsia" w:cs="仿宋_GB2312"/>
          <w:color w:val="000000"/>
        </w:rPr>
      </w:r>
      <w:r>
        <w:rPr>
          <w:rFonts w:hint="eastAsia" w:cs="仿宋_GB2312"/>
          <w:color w:val="000000"/>
        </w:rPr>
      </w:r>
    </w:p>
    <w:p>
      <w:pPr>
        <w:pStyle w:val="737"/>
        <w:pBdr/>
        <w:spacing w:line="580" w:lineRule="exact"/>
        <w:ind w:firstLine="643"/>
        <w:rPr>
          <w:rFonts w:hint="eastAsia" w:cs="仿宋_GB2312"/>
          <w:color w:val="000000"/>
        </w:rPr>
      </w:pPr>
      <w:r>
        <w:rPr>
          <w:rFonts w:ascii="Times New Roman" w:hAnsi="Times New Roman"/>
          <w:b/>
          <w:bCs/>
          <w:color w:val="000000"/>
        </w:rPr>
        <w:t xml:space="preserve">——</w:t>
      </w:r>
      <w:r>
        <w:rPr>
          <w:rFonts w:hint="eastAsia" w:cs="仿宋_GB2312"/>
          <w:b/>
          <w:bCs/>
          <w:color w:val="000000"/>
        </w:rPr>
        <w:t xml:space="preserve">旅游形象提升工程</w:t>
      </w:r>
      <w:r>
        <w:rPr>
          <w:rFonts w:hint="eastAsia" w:cs="仿宋_GB2312"/>
          <w:color w:val="000000"/>
        </w:rPr>
        <w:t xml:space="preserve">。推进随州文旅整体形象构建</w:t>
      </w:r>
      <w:r>
        <w:rPr>
          <w:color w:val="000000"/>
        </w:rPr>
        <w:t xml:space="preserve">“</w:t>
      </w:r>
      <w:r>
        <w:rPr>
          <w:rFonts w:hint="eastAsia" w:cs="仿宋_GB2312"/>
          <w:color w:val="000000"/>
        </w:rPr>
        <w:t xml:space="preserve">五个一</w:t>
      </w:r>
      <w:r>
        <w:rPr>
          <w:color w:val="000000"/>
        </w:rPr>
        <w:t xml:space="preserve">”</w:t>
      </w:r>
      <w:r>
        <w:rPr>
          <w:rFonts w:hint="eastAsia" w:cs="仿宋_GB2312"/>
          <w:color w:val="000000"/>
        </w:rPr>
        <w:t xml:space="preserve">行动</w:t>
      </w:r>
      <w:r>
        <w:rPr>
          <w:rStyle w:val="779"/>
          <w:rFonts w:hint="eastAsia" w:cs="仿宋_GB2312"/>
          <w:color w:val="000000"/>
        </w:rPr>
        <w:footnoteReference w:id="2"/>
      </w:r>
      <w:r>
        <w:rPr>
          <w:rFonts w:hint="eastAsia" w:cs="仿宋_GB2312"/>
          <w:color w:val="000000"/>
        </w:rPr>
        <w:t xml:space="preserve">，将</w:t>
      </w:r>
      <w:r>
        <w:rPr>
          <w:color w:val="000000"/>
        </w:rPr>
        <w:t xml:space="preserve">“</w:t>
      </w:r>
      <w:r>
        <w:rPr>
          <w:rFonts w:hint="eastAsia" w:cs="仿宋_GB2312"/>
          <w:color w:val="000000"/>
        </w:rPr>
        <w:t xml:space="preserve">炎帝故里、编钟之乡</w:t>
      </w:r>
      <w:r>
        <w:rPr>
          <w:color w:val="000000"/>
        </w:rPr>
        <w:t xml:space="preserve">”</w:t>
      </w:r>
      <w:r>
        <w:rPr>
          <w:rFonts w:hint="eastAsia" w:cs="仿宋_GB2312"/>
          <w:color w:val="000000"/>
        </w:rPr>
        <w:t xml:space="preserve">打造成湖北省重要的文化旅游符号。推进重点景区提档升级，推动炎帝故里风景名胜区功能拓展，把炎帝故里文化旅游区打造成</w:t>
      </w:r>
      <w:r>
        <w:rPr>
          <w:color w:val="000000"/>
        </w:rPr>
        <w:t xml:space="preserve">5A</w:t>
      </w:r>
      <w:r>
        <w:rPr>
          <w:rFonts w:hint="eastAsia" w:cs="仿宋_GB2312"/>
          <w:color w:val="000000"/>
        </w:rPr>
        <w:t xml:space="preserve">级景区，神农部落、神农乡韵（神农寨）等特色文化景区打造成</w:t>
      </w:r>
      <w:r>
        <w:rPr>
          <w:rFonts w:hint="eastAsia" w:cs="仿宋_GB2312"/>
          <w:color w:val="000000"/>
          <w:lang w:val="en-US"/>
        </w:rPr>
        <w:t xml:space="preserve">4A级</w:t>
      </w:r>
      <w:r>
        <w:rPr>
          <w:rFonts w:hint="eastAsia" w:cs="仿宋_GB2312"/>
          <w:color w:val="000000"/>
        </w:rPr>
        <w:t xml:space="preserve">景区。完善文化旅游公共交通体系、公共服务体系，围绕</w:t>
      </w:r>
      <w:r>
        <w:rPr>
          <w:color w:val="000000"/>
        </w:rPr>
        <w:t xml:space="preserve">“</w:t>
      </w:r>
      <w:r>
        <w:rPr>
          <w:rFonts w:hint="eastAsia" w:cs="仿宋_GB2312"/>
          <w:color w:val="000000"/>
        </w:rPr>
        <w:t xml:space="preserve">吃、住、行、游、购、娱</w:t>
      </w:r>
      <w:r>
        <w:rPr>
          <w:color w:val="000000"/>
        </w:rPr>
        <w:t xml:space="preserve">”</w:t>
      </w:r>
      <w:r>
        <w:rPr>
          <w:rFonts w:hint="eastAsia" w:cs="仿宋_GB2312"/>
          <w:color w:val="000000"/>
        </w:rPr>
        <w:t xml:space="preserve">旅游要素，不断完善要素配套，提升文化旅游整体品质。持续开展旅游市场综合整治，在重点景区组建旅游巡回法庭、市场监管派出机构，优化旅游发展环境。</w:t>
      </w:r>
      <w:r>
        <w:rPr>
          <w:rFonts w:hint="eastAsia" w:cs="仿宋_GB2312"/>
          <w:color w:val="000000"/>
        </w:rPr>
      </w:r>
      <w:r>
        <w:rPr>
          <w:rFonts w:hint="eastAsia" w:cs="仿宋_GB2312"/>
          <w:color w:val="000000"/>
        </w:rPr>
      </w:r>
    </w:p>
    <w:p>
      <w:pPr>
        <w:pStyle w:val="737"/>
        <w:pBdr/>
        <w:spacing/>
        <w:ind w:firstLine="643"/>
        <w:rPr>
          <w:rFonts w:hint="eastAsia" w:cs="仿宋_GB2312"/>
          <w:color w:val="000000"/>
        </w:rPr>
      </w:pPr>
      <w:r>
        <w:rPr>
          <w:rFonts w:ascii="Times New Roman" w:hAnsi="Times New Roman"/>
          <w:b/>
          <w:bCs/>
          <w:color w:val="000000"/>
        </w:rPr>
        <w:t xml:space="preserve">——</w:t>
      </w:r>
      <w:r>
        <w:rPr>
          <w:rFonts w:hint="eastAsia" w:cs="仿宋_GB2312"/>
          <w:b/>
          <w:bCs/>
          <w:color w:val="000000"/>
        </w:rPr>
        <w:t xml:space="preserve">区域联动发展工程</w:t>
      </w:r>
      <w:r>
        <w:rPr>
          <w:rFonts w:hint="eastAsia" w:cs="仿宋_GB2312"/>
          <w:color w:val="000000"/>
        </w:rPr>
        <w:t xml:space="preserve">。</w:t>
      </w:r>
      <w:r>
        <w:rPr>
          <w:rFonts w:hint="eastAsia" w:cs="仿宋_GB2312"/>
          <w:color w:val="000000"/>
          <w:shd w:val="clear" w:color="auto" w:fill="ffffff"/>
        </w:rPr>
        <w:t xml:space="preserve">加大与</w:t>
      </w:r>
      <w:r>
        <w:rPr>
          <w:rFonts w:hint="eastAsia" w:cs="仿宋_GB2312"/>
          <w:color w:val="000000"/>
        </w:rPr>
        <w:t xml:space="preserve">武汉、孝感、襄阳、十堰等省内</w:t>
      </w:r>
      <w:r>
        <w:rPr>
          <w:rFonts w:hint="eastAsia" w:cs="仿宋_GB2312"/>
          <w:color w:val="000000"/>
          <w:shd w:val="clear" w:color="auto" w:fill="ffffff"/>
        </w:rPr>
        <w:t xml:space="preserve">城市及河南南阳、信阳等省外城市在文化旅游领域的合作交流，积极拓展旅</w:t>
      </w:r>
      <w:r>
        <w:rPr>
          <w:rFonts w:hint="eastAsia" w:cs="仿宋_GB2312"/>
          <w:color w:val="000000"/>
        </w:rPr>
        <w:t xml:space="preserve">游发展空间。加强随县北部的桐柏山旅游区、西游记漂流及抱朴谷与河南桐柏山淮源风景名胜区，广水市北部黑龙潭、高贵三潭及中华山森林公园与信阳鸡公山风景区的跨省域整合联动。加强洪山镇、长岗镇、三里岗镇，钟祥市张集镇、客店镇与京山县绿林镇、三阳镇的旅游资源整合，实现大洪山区域一体化开发。加强洛阳镇千年银杏谷景区、九口堰新四军五师旧址、乾元山、柳林镇明玉珍故里与安陆市的钱冲古银杏国家森林公园、白兆山旅游风景区的整合联动。</w:t>
      </w:r>
      <w:r>
        <w:rPr>
          <w:rFonts w:hint="eastAsia" w:cs="仿宋_GB2312"/>
          <w:color w:val="000000"/>
        </w:rPr>
      </w:r>
      <w:r>
        <w:rPr>
          <w:rFonts w:hint="eastAsia" w:cs="仿宋_GB2312"/>
          <w:color w:val="000000"/>
        </w:rPr>
      </w:r>
    </w:p>
    <w:tbl>
      <w:tblPr>
        <w:tblW w:w="0" w:type="auto"/>
        <w:tblInd w:w="-1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4A0" w:firstRow="1" w:lastRow="0" w:firstColumn="1" w:lastColumn="0" w:noHBand="0" w:noVBand="1"/>
      </w:tblPr>
      <w:tblGrid>
        <w:gridCol w:w="8834"/>
      </w:tblGrid>
      <w:tr>
        <w:trPr/>
        <w:tc>
          <w:tcPr>
            <w:tcBorders/>
            <w:tcW w:w="8834" w:type="dxa"/>
            <w:vAlign w:val="top"/>
            <w:textDirection w:val="lrTb"/>
            <w:noWrap w:val="false"/>
          </w:tcPr>
          <w:p>
            <w:pPr>
              <w:pStyle w:val="797"/>
              <w:pBdr/>
              <w:spacing/>
              <w:ind w:firstLine="0"/>
              <w:jc w:val="center"/>
              <w:rPr>
                <w:b/>
                <w:bCs/>
                <w:color w:val="000000"/>
              </w:rPr>
            </w:pPr>
            <w:r>
              <w:rPr>
                <w:rFonts w:hint="eastAsia" w:cs="宋体"/>
                <w:b/>
                <w:bCs/>
                <w:color w:val="000000"/>
                <w:sz w:val="28"/>
                <w:szCs w:val="28"/>
              </w:rPr>
              <w:t xml:space="preserve">专栏三：文化旅游业重点项目</w:t>
            </w:r>
            <w:r>
              <w:rPr>
                <w:b/>
                <w:bCs/>
                <w:color w:val="000000"/>
              </w:rPr>
            </w:r>
            <w:r>
              <w:rPr>
                <w:b/>
                <w:bCs/>
                <w:color w:val="000000"/>
              </w:rPr>
            </w:r>
          </w:p>
        </w:tc>
      </w:tr>
      <w:tr>
        <w:trPr/>
        <w:tc>
          <w:tcPr>
            <w:tcBorders/>
            <w:tcW w:w="8834" w:type="dxa"/>
            <w:vAlign w:val="top"/>
            <w:textDirection w:val="lrTb"/>
            <w:noWrap w:val="false"/>
          </w:tcPr>
          <w:p>
            <w:pPr>
              <w:pStyle w:val="797"/>
              <w:pBdr/>
              <w:spacing/>
              <w:ind w:firstLine="482"/>
              <w:rPr>
                <w:rFonts w:hint="eastAsia"/>
                <w:color w:val="000000"/>
                <w:sz w:val="24"/>
                <w:szCs w:val="24"/>
                <w:lang w:val="en-US"/>
              </w:rPr>
            </w:pPr>
            <w:r>
              <w:rPr>
                <w:rFonts w:hint="eastAsia"/>
                <w:b/>
                <w:bCs/>
                <w:color w:val="000000"/>
                <w:sz w:val="24"/>
                <w:szCs w:val="24"/>
                <w:lang w:val="en-US"/>
              </w:rPr>
              <w:t xml:space="preserve">1、擂鼓墩文化遗址公园项目。</w:t>
            </w:r>
            <w:r>
              <w:rPr>
                <w:rFonts w:hint="eastAsia"/>
                <w:color w:val="000000"/>
                <w:sz w:val="24"/>
                <w:szCs w:val="24"/>
                <w:lang w:val="en-US"/>
              </w:rPr>
              <w:t xml:space="preserve">依托擂鼓墩古墓群特色文物资源，建设占地2.6平方公里考古遗址公园，在园区内实施曾侯乙墓遗址展示工程，并对已发掘的大型墓葬建设现代化遗址展示厅，对未发掘的墓冢进行地面标识和原状展示，对擂鼓墩驻军土地</w:t>
            </w:r>
            <w:r>
              <w:rPr>
                <w:rFonts w:hint="eastAsia"/>
                <w:color w:val="000000"/>
                <w:sz w:val="24"/>
                <w:szCs w:val="24"/>
                <w:lang w:val="en-US" w:eastAsia="zh-CN"/>
              </w:rPr>
              <w:t xml:space="preserve">、</w:t>
            </w:r>
            <w:r>
              <w:rPr>
                <w:rFonts w:hint="eastAsia"/>
                <w:color w:val="000000"/>
                <w:sz w:val="24"/>
                <w:szCs w:val="24"/>
                <w:lang w:val="en-US"/>
              </w:rPr>
              <w:t xml:space="preserve">房屋置换打造等，园区内配套发展文化产业，建设旅游配套设施。</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2、编钟青铜古镇项目。</w:t>
            </w:r>
            <w:r>
              <w:rPr>
                <w:rFonts w:hint="eastAsia"/>
                <w:color w:val="000000"/>
                <w:sz w:val="24"/>
                <w:szCs w:val="24"/>
                <w:lang w:val="en-US"/>
              </w:rPr>
              <w:t xml:space="preserve">占地约400亩，以编钟文化为主题打造集文化、风情、旅游、美食等于一体的特色古镇。</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3、随州市大洪山自在小镇建设项目。</w:t>
            </w:r>
            <w:r>
              <w:rPr>
                <w:rFonts w:hint="eastAsia"/>
                <w:color w:val="000000"/>
                <w:sz w:val="24"/>
                <w:szCs w:val="24"/>
                <w:lang w:val="en-US"/>
              </w:rPr>
              <w:t xml:space="preserve">总占地面积约1200亩，建设文旅街区(樊家台)、颐养社区（人工湖）、诗画田园（空山谷）、艺渡空间（莲华渡）四大片区。</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4、随县神农部落旅游景区项目。</w:t>
            </w:r>
            <w:r>
              <w:rPr>
                <w:rFonts w:hint="eastAsia"/>
                <w:color w:val="000000"/>
                <w:sz w:val="24"/>
                <w:szCs w:val="24"/>
                <w:lang w:val="en-US"/>
              </w:rPr>
              <w:t xml:space="preserve">打造集生产式、生活式、体验式、文化性、休闲度假性和游览观光性为一体的大型综合原始部落景区。</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5、西游记公园二期建设工程项目。</w:t>
            </w:r>
            <w:r>
              <w:rPr>
                <w:rFonts w:hint="eastAsia"/>
                <w:color w:val="000000"/>
                <w:sz w:val="24"/>
                <w:szCs w:val="24"/>
                <w:lang w:val="en-US"/>
              </w:rPr>
              <w:t xml:space="preserve">新建大型游乐体验项目、室内多功能剧场、对酒店客房进行主题化改造</w:t>
            </w:r>
            <w:r>
              <w:rPr>
                <w:rFonts w:hint="eastAsia"/>
                <w:color w:val="000000"/>
                <w:sz w:val="24"/>
                <w:szCs w:val="24"/>
                <w:lang w:val="en-US" w:eastAsia="zh-CN"/>
              </w:rPr>
              <w:t xml:space="preserve">，</w:t>
            </w:r>
            <w:r>
              <w:rPr>
                <w:rFonts w:hint="eastAsia"/>
                <w:color w:val="000000"/>
                <w:sz w:val="24"/>
                <w:szCs w:val="24"/>
                <w:lang w:val="en-US"/>
              </w:rPr>
              <w:t xml:space="preserve">打造省委大院红色旅游基地（爱国主义教育基地）、国家级研学基地（营地）、西游记文创基地，完善景区基础建设及配套工程。</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6、湖北大洪山原石部落建设项目。</w:t>
            </w:r>
            <w:r>
              <w:rPr>
                <w:rFonts w:hint="eastAsia"/>
                <w:color w:val="000000"/>
                <w:sz w:val="24"/>
                <w:szCs w:val="24"/>
                <w:lang w:val="en-US"/>
              </w:rPr>
              <w:t xml:space="preserve">新建游客行政服务中心、56个民族展示馆、火山岩户外运动中心、婚纱摄影基地、文化酒店、交通干线及景区道路、智慧停车场等，并完善相关配套服务设施。</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7、广水市黄土关农文旅小镇项目。</w:t>
            </w:r>
            <w:r>
              <w:rPr>
                <w:rFonts w:hint="eastAsia"/>
                <w:color w:val="000000"/>
                <w:sz w:val="24"/>
                <w:szCs w:val="24"/>
                <w:lang w:val="en-US"/>
              </w:rPr>
              <w:t xml:space="preserve">占地面积16.1平方公里，以黄土寨旧址为核心，打造关隘文化展示区、共享乡村生活社区、研学营地乐园区、森林康养度假区、美丽乡村样板整治区五大板块。其中：恢复黄土关、黄土寨等原址1.3万平方米；新建时光社区游客服务中心 、詹王厨师学校、特色民宿等10万平方米，打造智慧农场50万平方米；新建时光研学青少年文化教研基地、自然科普基地、户外拓展营地、亲子酒店等11.5万平方米；新建时光森林医养度假基地、油茶种植基地、红色文化科普教育基地等41.8万平</w:t>
            </w:r>
            <w:r>
              <w:rPr>
                <w:rFonts w:hint="eastAsia"/>
                <w:color w:val="000000"/>
                <w:sz w:val="24"/>
                <w:szCs w:val="24"/>
                <w:lang w:val="en-US" w:eastAsia="zh-CN"/>
              </w:rPr>
              <w:t xml:space="preserve">方</w:t>
            </w:r>
            <w:r>
              <w:rPr>
                <w:rFonts w:hint="eastAsia"/>
                <w:color w:val="000000"/>
                <w:sz w:val="24"/>
                <w:szCs w:val="24"/>
                <w:lang w:val="en-US"/>
              </w:rPr>
              <w:t xml:space="preserve">米。</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8、广水市迷彩飞客小镇项目。</w:t>
            </w:r>
            <w:r>
              <w:rPr>
                <w:rFonts w:hint="eastAsia"/>
                <w:color w:val="000000"/>
                <w:sz w:val="24"/>
                <w:szCs w:val="24"/>
                <w:lang w:val="en-US"/>
              </w:rPr>
              <w:t xml:space="preserve">占地面积29.8公顷，建设军事接待中心，新建游客服务中心、八一广场、军事生活主题公园、国防科技展馆、生态停车场、军民双拥文化公园、票务服务中心、停车场；</w:t>
            </w:r>
            <w:r>
              <w:rPr>
                <w:rFonts w:hint="eastAsia"/>
                <w:color w:val="000000"/>
                <w:sz w:val="24"/>
                <w:szCs w:val="24"/>
                <w:lang w:val="en-US" w:eastAsia="zh-CN"/>
              </w:rPr>
              <w:t xml:space="preserve">建设占地</w:t>
            </w:r>
            <w:r>
              <w:rPr>
                <w:rFonts w:hint="eastAsia"/>
                <w:color w:val="000000"/>
                <w:sz w:val="24"/>
                <w:szCs w:val="24"/>
                <w:lang w:val="en-US"/>
              </w:rPr>
              <w:t xml:space="preserve">10.5公顷</w:t>
            </w:r>
            <w:r>
              <w:rPr>
                <w:rFonts w:hint="eastAsia"/>
                <w:color w:val="000000"/>
                <w:sz w:val="24"/>
                <w:szCs w:val="24"/>
                <w:lang w:val="en-US" w:eastAsia="zh-CN"/>
              </w:rPr>
              <w:t xml:space="preserve">的</w:t>
            </w:r>
            <w:r>
              <w:rPr>
                <w:rFonts w:hint="eastAsia"/>
                <w:color w:val="000000"/>
                <w:sz w:val="24"/>
                <w:szCs w:val="24"/>
                <w:lang w:val="en-US"/>
              </w:rPr>
              <w:t xml:space="preserve">研学旅游基地，新建国防科技公园、自然山地景观。</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9、编钟音乐之都项目。</w:t>
            </w:r>
            <w:r>
              <w:rPr>
                <w:rFonts w:hint="eastAsia"/>
                <w:color w:val="000000"/>
                <w:sz w:val="24"/>
                <w:szCs w:val="24"/>
                <w:lang w:val="en-US"/>
              </w:rPr>
              <w:t xml:space="preserve">占地面积约2200亩，以活化随州特色文化为主旨，以编钟古乐为核心，向上延伸中国古乐，向下衔接随州地域文化，打造5大产品体系。</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eastAsia="宋体"/>
                <w:color w:val="000000"/>
                <w:lang w:val="en-US"/>
              </w:rPr>
            </w:pPr>
            <w:r>
              <w:rPr>
                <w:rFonts w:hint="eastAsia"/>
                <w:b/>
                <w:bCs/>
                <w:color w:val="000000"/>
                <w:sz w:val="24"/>
                <w:szCs w:val="24"/>
                <w:lang w:val="en-US"/>
              </w:rPr>
              <w:t xml:space="preserve">10、田王寨文化旅游项目。</w:t>
            </w:r>
            <w:r>
              <w:rPr>
                <w:rFonts w:hint="eastAsia"/>
                <w:color w:val="000000"/>
                <w:sz w:val="24"/>
                <w:szCs w:val="24"/>
                <w:lang w:val="en-US"/>
              </w:rPr>
              <w:t xml:space="preserve">修复古寨墙、瓮城，建设“重走长征路”主题教育路线、游步道、红色文化博物馆、游乐设施等，打造田王寨国家长征文化公园。</w:t>
            </w:r>
            <w:r>
              <w:rPr>
                <w:rFonts w:hint="eastAsia" w:eastAsia="宋体"/>
                <w:color w:val="000000"/>
                <w:lang w:val="en-US"/>
              </w:rPr>
            </w:r>
            <w:r>
              <w:rPr>
                <w:rFonts w:hint="eastAsia" w:eastAsia="宋体"/>
                <w:color w:val="000000"/>
                <w:lang w:val="en-US"/>
              </w:rPr>
            </w:r>
          </w:p>
        </w:tc>
      </w:tr>
    </w:tbl>
    <w:p>
      <w:pPr>
        <w:pStyle w:val="792"/>
        <w:pBdr/>
        <w:spacing/>
        <w:ind w:firstLine="480"/>
        <w:rPr>
          <w:color w:val="000000"/>
        </w:rPr>
      </w:pPr>
      <w:r>
        <w:rPr>
          <w:color w:val="000000"/>
        </w:rPr>
      </w:r>
      <w:r>
        <w:rPr>
          <w:color w:val="000000"/>
        </w:rPr>
      </w:r>
    </w:p>
    <w:p>
      <w:pPr>
        <w:pStyle w:val="737"/>
        <w:pBdr/>
        <w:spacing/>
        <w:ind w:firstLine="643"/>
        <w:rPr>
          <w:rFonts w:hint="eastAsia" w:hAnsi="仿宋" w:cs="仿宋"/>
          <w:color w:val="000000"/>
        </w:rPr>
      </w:pPr>
      <w:r>
        <w:rPr>
          <w:rFonts w:hint="eastAsia" w:ascii="楷体_GB2312" w:hAnsi="楷体_GB2312" w:eastAsia="楷体_GB2312" w:cs="楷体_GB2312"/>
          <w:b/>
          <w:bCs/>
          <w:color w:val="000000"/>
        </w:rPr>
        <w:t xml:space="preserve">风机制造</w:t>
      </w:r>
      <w:r>
        <w:rPr>
          <w:rFonts w:hint="eastAsia"/>
          <w:b/>
          <w:bCs/>
          <w:color w:val="000000"/>
        </w:rPr>
        <w:t xml:space="preserve">。</w:t>
      </w:r>
      <w:r>
        <w:rPr>
          <w:rFonts w:hint="eastAsia" w:hAnsi="仿宋" w:cs="仿宋"/>
          <w:color w:val="000000"/>
        </w:rPr>
        <w:t xml:space="preserve">高标准编制风机产业发展规划，加快推进风机产业园建设，引导风机企业向园区集聚、抱团发展，壮大风机企业旗舰、形成风机产业航母，打造全国重要的风机生产基地。</w:t>
      </w:r>
      <w:r>
        <w:rPr>
          <w:rFonts w:hint="eastAsia" w:hAnsi="仿宋" w:cs="仿宋"/>
          <w:color w:val="000000"/>
        </w:rPr>
      </w:r>
      <w:r>
        <w:rPr>
          <w:rFonts w:hint="eastAsia" w:hAnsi="仿宋" w:cs="仿宋"/>
          <w:color w:val="000000"/>
        </w:rPr>
      </w:r>
    </w:p>
    <w:p>
      <w:pPr>
        <w:pStyle w:val="737"/>
        <w:pBdr/>
        <w:spacing/>
        <w:ind w:firstLine="643"/>
        <w:rPr>
          <w:rFonts w:hint="eastAsia" w:hAnsi="仿宋" w:cs="仿宋"/>
          <w:color w:val="000000"/>
        </w:rPr>
      </w:pPr>
      <w:r>
        <w:rPr>
          <w:rFonts w:ascii="Times New Roman" w:hAnsi="Times New Roman"/>
          <w:b/>
          <w:bCs/>
          <w:color w:val="000000"/>
        </w:rPr>
        <w:t xml:space="preserve">——</w:t>
      </w:r>
      <w:r>
        <w:rPr>
          <w:rFonts w:hint="eastAsia"/>
          <w:b/>
          <w:bCs/>
          <w:color w:val="000000"/>
        </w:rPr>
        <w:t xml:space="preserve">推动强链延链</w:t>
      </w:r>
      <w:r>
        <w:rPr>
          <w:rFonts w:hint="eastAsia"/>
          <w:color w:val="000000"/>
        </w:rPr>
        <w:t xml:space="preserve">。</w:t>
      </w:r>
      <w:r>
        <w:rPr>
          <w:rFonts w:hint="eastAsia" w:hAnsi="仿宋" w:cs="仿宋"/>
          <w:color w:val="000000"/>
        </w:rPr>
        <w:t xml:space="preserve">引导风机产业在广水市集聚发展，</w:t>
      </w:r>
      <w:r>
        <w:rPr>
          <w:rFonts w:hint="eastAsia"/>
          <w:color w:val="000000"/>
        </w:rPr>
        <w:t xml:space="preserve">依托三峰透平、湖北双剑等龙头企业，积极引进培育风机整机</w:t>
      </w:r>
      <w:r>
        <w:rPr>
          <w:rFonts w:hint="eastAsia" w:hAnsi="仿宋" w:cs="仿宋"/>
          <w:color w:val="000000"/>
        </w:rPr>
        <w:t xml:space="preserve">生产企业</w:t>
      </w:r>
      <w:r>
        <w:rPr>
          <w:rFonts w:hint="eastAsia"/>
          <w:color w:val="000000"/>
        </w:rPr>
        <w:t xml:space="preserve">和电机、风阀等上下游企业，完善研发、检测、信息三大平台，</w:t>
      </w:r>
      <w:r>
        <w:rPr>
          <w:rFonts w:hint="eastAsia" w:hAnsi="仿宋" w:cs="仿宋"/>
          <w:color w:val="000000"/>
        </w:rPr>
        <w:t xml:space="preserve">打造从产品设计、制造、系统集成到检测的完整产业链，筹建中南地区风机检验检测中心。</w:t>
      </w:r>
      <w:r>
        <w:rPr>
          <w:rFonts w:hint="eastAsia" w:hAnsi="仿宋" w:cs="仿宋"/>
          <w:color w:val="000000"/>
        </w:rPr>
      </w:r>
      <w:r>
        <w:rPr>
          <w:rFonts w:hint="eastAsia" w:hAnsi="仿宋" w:cs="仿宋"/>
          <w:color w:val="000000"/>
        </w:rPr>
      </w:r>
    </w:p>
    <w:p>
      <w:pPr>
        <w:pStyle w:val="737"/>
        <w:pBdr/>
        <w:spacing/>
        <w:ind w:firstLine="643"/>
        <w:rPr>
          <w:rFonts w:hint="eastAsia" w:hAnsi="仿宋" w:cs="仿宋"/>
          <w:color w:val="000000"/>
          <w:lang w:val="en-US"/>
        </w:rPr>
      </w:pPr>
      <w:r>
        <w:rPr>
          <w:rFonts w:ascii="Times New Roman" w:hAnsi="Times New Roman"/>
          <w:b/>
          <w:bCs/>
          <w:color w:val="000000"/>
        </w:rPr>
        <w:t xml:space="preserve">——</w:t>
      </w:r>
      <w:r>
        <w:rPr>
          <w:rFonts w:hint="eastAsia"/>
          <w:b/>
          <w:bCs/>
          <w:color w:val="000000"/>
        </w:rPr>
        <w:t xml:space="preserve">推动转型升级</w:t>
      </w:r>
      <w:r>
        <w:rPr>
          <w:rFonts w:hint="eastAsia" w:hAnsi="仿宋" w:cs="仿宋"/>
          <w:color w:val="000000"/>
        </w:rPr>
        <w:t xml:space="preserve">。鼓励</w:t>
      </w:r>
      <w:r>
        <w:rPr>
          <w:rFonts w:hint="eastAsia" w:hAnsi="仿宋" w:cs="仿宋"/>
          <w:color w:val="000000"/>
          <w:lang w:eastAsia="zh-CN"/>
        </w:rPr>
        <w:t xml:space="preserve">风机制造</w:t>
      </w:r>
      <w:r>
        <w:rPr>
          <w:rFonts w:hint="eastAsia" w:hAnsi="仿宋" w:cs="仿宋"/>
          <w:color w:val="000000"/>
        </w:rPr>
        <w:t xml:space="preserve">企业大力推动跨领域跨行业的“互联网</w:t>
      </w:r>
      <w:r>
        <w:rPr>
          <w:rFonts w:hint="eastAsia" w:hAnsi="仿宋" w:cs="仿宋"/>
          <w:color w:val="000000"/>
          <w:lang w:val="en-US"/>
        </w:rPr>
        <w:t xml:space="preserve">+协同制造”创新，</w:t>
      </w:r>
      <w:r>
        <w:rPr>
          <w:rFonts w:hint="eastAsia" w:hAnsi="仿宋" w:cs="仿宋"/>
          <w:color w:val="000000"/>
          <w:lang w:val="en-US" w:eastAsia="zh-CN"/>
        </w:rPr>
        <w:t xml:space="preserve">实现</w:t>
      </w:r>
      <w:r>
        <w:rPr>
          <w:rFonts w:hint="eastAsia" w:hAnsi="仿宋" w:cs="仿宋"/>
          <w:color w:val="000000"/>
          <w:lang w:val="en-US"/>
        </w:rPr>
        <w:t xml:space="preserve">结构调整升级。</w:t>
      </w:r>
      <w:r>
        <w:rPr>
          <w:rFonts w:hint="eastAsia" w:hAnsi="仿宋" w:cs="仿宋"/>
          <w:color w:val="000000"/>
        </w:rPr>
        <w:t xml:space="preserve">鼓励三峰透平、湖北双剑、湖北微特风机加强自主创新，发展新型风机，推进造气风机、化铁炉风机、二氧化硫风机转型升级，研发环保节能型风机、耐高温材料风机、两级二氧化硫低速高压风机、地铁风机等高附加值和高科技节能型风机产品，推动风机产品由“跟跑型”向“领跑型”转变，打造一批高新技术企业</w:t>
      </w:r>
      <w:r>
        <w:rPr>
          <w:rFonts w:hint="eastAsia" w:hAnsi="仿宋" w:cs="仿宋"/>
          <w:color w:val="000000"/>
          <w:lang w:eastAsia="zh-CN"/>
        </w:rPr>
        <w:t xml:space="preserve">和</w:t>
      </w:r>
      <w:r>
        <w:rPr>
          <w:rFonts w:hint="eastAsia" w:hAnsi="仿宋" w:cs="仿宋"/>
          <w:color w:val="000000"/>
        </w:rPr>
        <w:t xml:space="preserve">“科技小巨人”。</w:t>
      </w:r>
      <w:r>
        <w:rPr>
          <w:rFonts w:hint="eastAsia" w:hAnsi="仿宋" w:cs="仿宋"/>
          <w:color w:val="000000"/>
          <w:lang w:val="en-US"/>
        </w:rPr>
      </w:r>
      <w:r>
        <w:rPr>
          <w:rFonts w:hint="eastAsia" w:hAnsi="仿宋" w:cs="仿宋"/>
          <w:color w:val="000000"/>
          <w:lang w:val="en-US"/>
        </w:rPr>
      </w:r>
    </w:p>
    <w:p>
      <w:pPr>
        <w:pStyle w:val="737"/>
        <w:pBdr/>
        <w:spacing/>
        <w:ind w:firstLine="643"/>
        <w:rPr>
          <w:rFonts w:hint="eastAsia" w:hAnsi="仿宋" w:cs="仿宋"/>
          <w:color w:val="000000"/>
        </w:rPr>
      </w:pPr>
      <w:r>
        <w:rPr>
          <w:rFonts w:ascii="Times New Roman" w:hAnsi="Times New Roman"/>
          <w:b/>
          <w:bCs/>
          <w:color w:val="000000"/>
        </w:rPr>
        <w:t xml:space="preserve">——</w:t>
      </w:r>
      <w:r>
        <w:rPr>
          <w:rFonts w:hint="eastAsia"/>
          <w:b/>
          <w:bCs/>
          <w:color w:val="000000"/>
        </w:rPr>
        <w:t xml:space="preserve">推动耦合联动</w:t>
      </w:r>
      <w:r>
        <w:rPr>
          <w:rFonts w:hint="eastAsia" w:hAnsi="仿宋" w:cs="仿宋"/>
          <w:color w:val="000000"/>
        </w:rPr>
        <w:t xml:space="preserve">。引导风机产业与智能制造、钢铁冶金、新型能源、地铁装备等产业与关联发展、协作发展，拓宽风机在轨道交通领域和发电、冶金、矿山、商业等工业民用领域，以及核电工程领域、舰艇船舶领域等产业链下游领域应用。</w:t>
      </w:r>
      <w:r>
        <w:rPr>
          <w:rFonts w:hint="eastAsia" w:hAnsi="仿宋" w:cs="仿宋"/>
          <w:color w:val="000000"/>
        </w:rPr>
      </w:r>
      <w:r>
        <w:rPr>
          <w:rFonts w:hint="eastAsia" w:hAnsi="仿宋" w:cs="仿宋"/>
          <w:color w:val="000000"/>
        </w:rPr>
      </w:r>
    </w:p>
    <w:p>
      <w:pPr>
        <w:pStyle w:val="737"/>
        <w:pBdr/>
        <w:spacing/>
        <w:ind w:firstLine="643"/>
        <w:rPr>
          <w:rFonts w:hint="eastAsia"/>
          <w:color w:val="000000"/>
        </w:rPr>
      </w:pPr>
      <w:r>
        <w:rPr>
          <w:rFonts w:ascii="Times New Roman" w:hAnsi="Times New Roman"/>
          <w:b/>
          <w:bCs/>
          <w:color w:val="000000"/>
        </w:rPr>
        <w:t xml:space="preserve">——</w:t>
      </w:r>
      <w:r>
        <w:rPr>
          <w:rFonts w:hint="eastAsia" w:ascii="Times New Roman" w:hAnsi="Times New Roman"/>
          <w:b/>
          <w:bCs/>
          <w:color w:val="000000"/>
        </w:rPr>
        <w:t xml:space="preserve">推动品牌创建</w:t>
      </w:r>
      <w:r>
        <w:rPr>
          <w:rFonts w:hint="eastAsia" w:cs="仿宋_GB2312"/>
          <w:color w:val="000000"/>
        </w:rPr>
        <w:t xml:space="preserve">。</w:t>
      </w:r>
      <w:r>
        <w:rPr>
          <w:rFonts w:hint="eastAsia" w:hAnsi="仿宋" w:cs="仿宋"/>
          <w:color w:val="000000"/>
        </w:rPr>
        <w:t xml:space="preserve">放大中国风机名城品牌效应，以风机产业高端化、智能化、科技化发展为方向，鼓励风机企业攀大靠强、嫁接重组，提升品牌竞争优势，提高MVR蒸汽压缩机、地铁风机、动叶可调轴流风机、大型硫酸风机等高端风机市场占有率</w:t>
      </w:r>
      <w:r>
        <w:rPr>
          <w:rFonts w:hint="eastAsia" w:hAnsi="仿宋" w:cs="仿宋"/>
          <w:color w:val="000000"/>
          <w:lang w:val="en-US"/>
        </w:rPr>
        <w:t xml:space="preserve">。</w:t>
      </w:r>
      <w:r>
        <w:rPr>
          <w:rFonts w:hint="eastAsia"/>
          <w:color w:val="000000"/>
        </w:rPr>
      </w:r>
      <w:r>
        <w:rPr>
          <w:rFonts w:hint="eastAsia"/>
          <w:color w:val="000000"/>
        </w:rPr>
      </w:r>
    </w:p>
    <w:tbl>
      <w:tblPr>
        <w:tblW w:w="0" w:type="auto"/>
        <w:tblInd w:w="-1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4A0" w:firstRow="1" w:lastRow="0" w:firstColumn="1" w:lastColumn="0" w:noHBand="0" w:noVBand="1"/>
      </w:tblPr>
      <w:tblGrid>
        <w:gridCol w:w="8834"/>
      </w:tblGrid>
      <w:tr>
        <w:trPr/>
        <w:tc>
          <w:tcPr>
            <w:tcBorders/>
            <w:tcW w:w="8834" w:type="dxa"/>
            <w:vAlign w:val="top"/>
            <w:textDirection w:val="lrTb"/>
            <w:noWrap w:val="false"/>
          </w:tcPr>
          <w:p>
            <w:pPr>
              <w:pStyle w:val="797"/>
              <w:pBdr/>
              <w:spacing/>
              <w:ind w:firstLine="0"/>
              <w:jc w:val="center"/>
              <w:rPr>
                <w:b/>
                <w:bCs/>
                <w:color w:val="000000"/>
              </w:rPr>
            </w:pPr>
            <w:r>
              <w:rPr>
                <w:rFonts w:hint="eastAsia" w:cs="宋体"/>
                <w:b/>
                <w:bCs/>
                <w:color w:val="000000"/>
                <w:sz w:val="28"/>
                <w:szCs w:val="28"/>
              </w:rPr>
              <w:t xml:space="preserve">专栏四：风机制造重点项目</w:t>
            </w:r>
            <w:r>
              <w:rPr>
                <w:b/>
                <w:bCs/>
                <w:color w:val="000000"/>
              </w:rPr>
            </w:r>
            <w:r>
              <w:rPr>
                <w:b/>
                <w:bCs/>
                <w:color w:val="000000"/>
              </w:rPr>
            </w:r>
          </w:p>
        </w:tc>
      </w:tr>
      <w:tr>
        <w:trPr/>
        <w:tc>
          <w:tcPr>
            <w:tcBorders/>
            <w:tcW w:w="8834" w:type="dxa"/>
            <w:vAlign w:val="top"/>
            <w:textDirection w:val="lrTb"/>
            <w:noWrap w:val="false"/>
          </w:tcPr>
          <w:p>
            <w:pPr>
              <w:pStyle w:val="797"/>
              <w:pBdr/>
              <w:spacing/>
              <w:ind w:firstLine="482"/>
              <w:rPr>
                <w:rFonts w:hint="eastAsia"/>
                <w:color w:val="000000"/>
                <w:sz w:val="24"/>
                <w:szCs w:val="24"/>
                <w:lang w:val="en-US"/>
              </w:rPr>
            </w:pPr>
            <w:r>
              <w:rPr>
                <w:rFonts w:hint="eastAsia"/>
                <w:b/>
                <w:bCs/>
                <w:color w:val="000000"/>
                <w:sz w:val="24"/>
                <w:szCs w:val="24"/>
                <w:lang w:val="en-US"/>
              </w:rPr>
              <w:t xml:space="preserve">1、三峰透平高效节能环保风机生产车间智能化升级改造项目。</w:t>
            </w:r>
            <w:r>
              <w:rPr>
                <w:rFonts w:hint="eastAsia"/>
                <w:color w:val="000000"/>
                <w:sz w:val="24"/>
                <w:szCs w:val="24"/>
                <w:lang w:val="en-US"/>
              </w:rPr>
              <w:t xml:space="preserve">新建2.5万平方米厂房，购置国产生产检测设备223台（套）及智能化工厂软硬件1套。</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2、微特风机新型地铁风机生产线项目。</w:t>
            </w:r>
            <w:r>
              <w:rPr>
                <w:rFonts w:hint="eastAsia"/>
                <w:color w:val="000000"/>
                <w:sz w:val="24"/>
                <w:szCs w:val="24"/>
                <w:lang w:val="en-US"/>
              </w:rPr>
              <w:t xml:space="preserve">扩建生产车间、仓库2栋，购置加工设备15台（套）及检测仪器、设备19件</w:t>
            </w:r>
            <w:r>
              <w:rPr>
                <w:rFonts w:hint="eastAsia"/>
                <w:color w:val="000000"/>
                <w:sz w:val="24"/>
                <w:szCs w:val="24"/>
                <w:lang w:val="en-US" w:eastAsia="zh-CN"/>
              </w:rPr>
              <w:t xml:space="preserve">（</w:t>
            </w:r>
            <w:r>
              <w:rPr>
                <w:rFonts w:hint="eastAsia"/>
                <w:color w:val="000000"/>
                <w:sz w:val="24"/>
                <w:szCs w:val="24"/>
                <w:lang w:val="en-US"/>
              </w:rPr>
              <w:t xml:space="preserve">套</w:t>
            </w:r>
            <w:r>
              <w:rPr>
                <w:rFonts w:hint="eastAsia"/>
                <w:color w:val="000000"/>
                <w:sz w:val="24"/>
                <w:szCs w:val="24"/>
                <w:lang w:val="en-US" w:eastAsia="zh-CN"/>
              </w:rPr>
              <w:t xml:space="preserve">）</w:t>
            </w:r>
            <w:r>
              <w:rPr>
                <w:rFonts w:hint="eastAsia"/>
                <w:color w:val="000000"/>
                <w:sz w:val="24"/>
                <w:szCs w:val="24"/>
                <w:lang w:val="en-US"/>
              </w:rPr>
              <w:t xml:space="preserve">。</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3、双剑环境科技公司轨道交通配套设备生产线扩建项目。</w:t>
            </w:r>
            <w:r>
              <w:rPr>
                <w:rFonts w:hint="eastAsia"/>
                <w:color w:val="000000"/>
                <w:sz w:val="24"/>
                <w:szCs w:val="24"/>
                <w:lang w:val="en-US"/>
              </w:rPr>
              <w:t xml:space="preserve">扩建标准化生产车间9000平米，新建城市轨道交通换气通风装备生产线、轨道交通装备机械润滑配套生产线、城市轨道交通配套消音生产线各1条。</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4、毅兴智能多轴联动装置研发及产业化项目。</w:t>
            </w:r>
            <w:r>
              <w:rPr>
                <w:rFonts w:hint="eastAsia"/>
                <w:color w:val="000000"/>
                <w:sz w:val="24"/>
                <w:szCs w:val="24"/>
                <w:lang w:val="en-US"/>
              </w:rPr>
              <w:t xml:space="preserve">新建2万平方米厂房、1条多轴联动装置生产线，购置加工和检测设备50台（套）。</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eastAsia="宋体"/>
                <w:color w:val="000000"/>
                <w:lang w:val="en-US"/>
              </w:rPr>
            </w:pPr>
            <w:r>
              <w:rPr>
                <w:rFonts w:hint="eastAsia"/>
                <w:b/>
                <w:bCs/>
                <w:color w:val="000000"/>
                <w:sz w:val="24"/>
                <w:szCs w:val="24"/>
                <w:lang w:val="en-US"/>
              </w:rPr>
              <w:t xml:space="preserve">5、三峰风机检测公司风机全自动检测与研发公共服务平台项目。</w:t>
            </w:r>
            <w:r>
              <w:rPr>
                <w:rFonts w:hint="eastAsia"/>
                <w:color w:val="000000"/>
                <w:sz w:val="24"/>
                <w:szCs w:val="24"/>
                <w:lang w:val="en-US"/>
              </w:rPr>
              <w:t xml:space="preserve">改造升级风机实验室，购置大型旋压机、五轴加工中心等加工检测设备。</w:t>
            </w:r>
            <w:r>
              <w:rPr>
                <w:rFonts w:hint="eastAsia" w:eastAsia="宋体"/>
                <w:color w:val="000000"/>
                <w:lang w:val="en-US"/>
              </w:rPr>
            </w:r>
            <w:r>
              <w:rPr>
                <w:rFonts w:hint="eastAsia" w:eastAsia="宋体"/>
                <w:color w:val="000000"/>
                <w:lang w:val="en-US"/>
              </w:rPr>
            </w:r>
          </w:p>
        </w:tc>
      </w:tr>
    </w:tbl>
    <w:p>
      <w:pPr>
        <w:pStyle w:val="737"/>
        <w:pBdr/>
        <w:spacing/>
        <w:ind w:firstLine="640"/>
        <w:rPr>
          <w:rFonts w:hint="eastAsia"/>
          <w:color w:val="000000"/>
        </w:rPr>
      </w:pPr>
      <w:r>
        <w:rPr>
          <w:rFonts w:hint="eastAsia"/>
          <w:color w:val="000000"/>
        </w:rPr>
      </w:r>
      <w:r>
        <w:rPr>
          <w:rFonts w:hint="eastAsia"/>
          <w:color w:val="000000"/>
        </w:rPr>
      </w:r>
    </w:p>
    <w:p>
      <w:pPr>
        <w:pStyle w:val="739"/>
        <w:pBdr/>
        <w:spacing/>
        <w:ind w:firstLine="720"/>
        <w:rPr>
          <w:rFonts w:hint="eastAsia" w:ascii="黑体" w:hAnsi="黑体" w:eastAsia="黑体" w:cs="黑体"/>
          <w:b w:val="0"/>
          <w:bCs w:val="0"/>
          <w:color w:val="000000"/>
        </w:rPr>
      </w:pPr>
      <w:r/>
      <w:bookmarkStart w:id="33" w:name="_Toc60"/>
      <w:r>
        <w:rPr>
          <w:rFonts w:hint="eastAsia" w:ascii="黑体" w:hAnsi="黑体" w:eastAsia="黑体" w:cs="黑体"/>
          <w:b w:val="0"/>
          <w:bCs w:val="0"/>
          <w:color w:val="000000"/>
        </w:rPr>
        <w:t xml:space="preserve">二、集聚发展高成长性产业</w:t>
      </w:r>
      <w:bookmarkEnd w:id="33"/>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rFonts w:ascii="Times New Roman" w:hAnsi="Times New Roman"/>
          <w:color w:val="000000"/>
        </w:rPr>
      </w:pPr>
      <w:r>
        <w:rPr>
          <w:rFonts w:hint="eastAsia"/>
          <w:color w:val="000000"/>
        </w:rPr>
        <w:t xml:space="preserve">集中力量，集聚资源，培育一批高成长性产业，</w:t>
      </w:r>
      <w:r>
        <w:rPr>
          <w:rFonts w:hint="eastAsia" w:ascii="Times New Roman" w:hAnsi="Times New Roman"/>
          <w:color w:val="000000"/>
        </w:rPr>
        <w:t xml:space="preserve">打造</w:t>
      </w:r>
      <w:r>
        <w:rPr>
          <w:rFonts w:ascii="Times New Roman" w:hAnsi="Times New Roman"/>
          <w:color w:val="000000"/>
        </w:rPr>
        <w:t xml:space="preserve">特种装备、能源化工、文化印刷出版发行三个两百亿级产业集群</w:t>
      </w:r>
      <w:r>
        <w:rPr>
          <w:rFonts w:hint="eastAsia"/>
          <w:color w:val="000000"/>
        </w:rPr>
        <w:t xml:space="preserve">，塑造产业发展新优势。</w:t>
      </w:r>
      <w:r>
        <w:rPr>
          <w:rFonts w:ascii="Times New Roman" w:hAnsi="Times New Roman"/>
          <w:color w:val="000000"/>
        </w:rPr>
      </w:r>
      <w:r>
        <w:rPr>
          <w:rFonts w:ascii="Times New Roman" w:hAnsi="Times New Roman"/>
          <w:color w:val="000000"/>
        </w:rPr>
      </w:r>
    </w:p>
    <w:p>
      <w:pPr>
        <w:pStyle w:val="737"/>
        <w:pBdr/>
        <w:spacing/>
        <w:ind w:firstLine="643"/>
        <w:rPr>
          <w:rFonts w:hint="eastAsia" w:hAnsi="仿宋" w:cs="仿宋"/>
          <w:color w:val="000000"/>
        </w:rPr>
      </w:pPr>
      <w:r>
        <w:rPr>
          <w:rFonts w:hint="eastAsia" w:ascii="楷体_GB2312" w:hAnsi="楷体_GB2312" w:eastAsia="楷体_GB2312" w:cs="楷体_GB2312"/>
          <w:b/>
          <w:bCs/>
          <w:color w:val="000000"/>
        </w:rPr>
        <w:t xml:space="preserve">特种装备</w:t>
      </w:r>
      <w:r>
        <w:rPr>
          <w:rFonts w:hint="eastAsia" w:cs="仿宋_GB2312"/>
          <w:b/>
          <w:bCs/>
          <w:color w:val="000000"/>
        </w:rPr>
        <w:t xml:space="preserve">。</w:t>
      </w:r>
      <w:r>
        <w:rPr>
          <w:rFonts w:hint="eastAsia" w:cs="仿宋_GB2312"/>
          <w:color w:val="000000"/>
        </w:rPr>
        <w:t xml:space="preserve">加快推进中航油集团与东风商用车、湖北圆通集团合作，大力发展机场客梯车、无障碍升降车、货物牵引车、货物传送车、升降车、飞机电源车等特种车辆，建设民航特种装备生产基地，打造全国重要的</w:t>
      </w:r>
      <w:r>
        <w:rPr>
          <w:rFonts w:hint="eastAsia"/>
          <w:color w:val="000000"/>
          <w:lang w:val="en-US"/>
        </w:rPr>
        <w:t xml:space="preserve">航空物流装备制造产业基地</w:t>
      </w:r>
      <w:r>
        <w:rPr>
          <w:rFonts w:hint="eastAsia" w:cs="仿宋_GB2312"/>
          <w:color w:val="000000"/>
        </w:rPr>
        <w:t xml:space="preserve">。依托齐星集团、毅兴智能装备、恒天新楚风等龙头企业，大力发展高档数控机床、智能输送设备、智能化仪器仪表与关键零部件为主的智能装备。以地铁风机制造为核心，大力引进一批地铁装备制造企业，发展机车零配件、车站设备、牵引供电、通信信号系统等产品，支持广水瞄准武汉、郑州等城市地铁市场，谋划一批与地铁装备、地铁工程对接的项目，建设全国重要的地铁装备生产基地。</w:t>
      </w:r>
      <w:r>
        <w:rPr>
          <w:rFonts w:hint="eastAsia" w:hAnsi="仿宋" w:cs="仿宋"/>
          <w:color w:val="000000"/>
        </w:rPr>
      </w:r>
      <w:r>
        <w:rPr>
          <w:rFonts w:hint="eastAsia" w:hAnsi="仿宋" w:cs="仿宋"/>
          <w:color w:val="000000"/>
        </w:rPr>
      </w:r>
    </w:p>
    <w:p>
      <w:pPr>
        <w:pStyle w:val="737"/>
        <w:pBdr/>
        <w:spacing/>
        <w:ind w:firstLine="643"/>
        <w:rPr>
          <w:rFonts w:hint="eastAsia"/>
          <w:color w:val="000000"/>
        </w:rPr>
      </w:pPr>
      <w:r>
        <w:rPr>
          <w:rFonts w:hint="eastAsia" w:ascii="楷体_GB2312" w:hAnsi="楷体_GB2312" w:eastAsia="楷体_GB2312" w:cs="楷体_GB2312"/>
          <w:b/>
          <w:bCs/>
          <w:color w:val="000000"/>
        </w:rPr>
        <w:t xml:space="preserve">能源化工</w:t>
      </w:r>
      <w:r>
        <w:rPr>
          <w:rFonts w:hint="eastAsia" w:cs="仿宋_GB2312"/>
          <w:b/>
          <w:bCs/>
          <w:color w:val="000000"/>
        </w:rPr>
        <w:t xml:space="preserve">。</w:t>
      </w:r>
      <w:r>
        <w:rPr>
          <w:rFonts w:hint="eastAsia" w:cs="仿宋_GB2312"/>
          <w:color w:val="000000"/>
        </w:rPr>
        <w:t xml:space="preserve">依托国家能源集团随州电厂建设</w:t>
      </w:r>
      <w:r>
        <w:rPr>
          <w:rFonts w:hint="eastAsia"/>
          <w:color w:val="000000"/>
        </w:rPr>
        <w:t xml:space="preserve">，</w:t>
      </w:r>
      <w:r>
        <w:rPr>
          <w:rFonts w:hint="eastAsia" w:cs="仿宋_GB2312"/>
        </w:rPr>
        <w:t xml:space="preserve">加强与东方电机有限公司、东方锅炉股份有限公司、风电有限公司等装备制造企业对接，重点围绕电厂主机、锅炉、风力发电机组及其配套叶片、电控系统等核心部件研发制造，发展能源装备制造产业，</w:t>
      </w:r>
      <w:r>
        <w:rPr>
          <w:rFonts w:hint="eastAsia" w:cs="仿宋_GB2312"/>
          <w:color w:val="000000"/>
        </w:rPr>
        <w:t xml:space="preserve">谋划建设能源物流产业园，打造能源强市。</w:t>
      </w:r>
      <w:r>
        <w:rPr>
          <w:rFonts w:hint="eastAsia"/>
          <w:color w:val="000000"/>
        </w:rPr>
        <w:t xml:space="preserve">加强同国家能源集团旗下国电科学技术研究院有限公司、北京低碳清洁能源研究院、国电新能源技术研究院有限公司等科研机构对接，引进设立分支机构，力促部分科研成果在随州转化，科研项目在随州落地。加强同国家能源集团旗下氢能产业基金对接，</w:t>
      </w:r>
      <w:r>
        <w:rPr>
          <w:color w:val="000000"/>
        </w:rPr>
        <w:t xml:space="preserve">在随州开展氢能开发示范推广利用工程，开展氢能及燃料电池等研究和生产。</w:t>
      </w:r>
      <w:r>
        <w:rPr>
          <w:rFonts w:hint="eastAsia"/>
          <w:color w:val="000000"/>
        </w:rPr>
        <w:t xml:space="preserve">积极招引烟气脱硝、燃煤细颗粒物及前体物治理</w:t>
      </w:r>
      <w:r>
        <w:rPr>
          <w:rFonts w:hint="eastAsia" w:cs="仿宋_GB2312"/>
          <w:color w:val="000000"/>
        </w:rPr>
        <w:t xml:space="preserve">、煤制油、煤制烯烃、煤炭分质清洁高效利用等重大项目，谋划建设一批煤化工全产业链项目，开发下游高附加值产品。全力推进化工园区建设，支持随州高新区青春化工园区、广水化工产业园做大做强精细化工，促进产品升级换代，建成技术领先、结构合理、特色鲜明、效益突出的精细化工园区。</w:t>
      </w:r>
      <w:r>
        <w:rPr>
          <w:rFonts w:hint="eastAsia"/>
          <w:color w:val="000000"/>
        </w:rPr>
      </w:r>
      <w:r>
        <w:rPr>
          <w:rFonts w:hint="eastAsia"/>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文化印刷出版发行</w:t>
      </w:r>
      <w:r>
        <w:rPr>
          <w:rFonts w:hint="eastAsia" w:cs="仿宋_GB2312"/>
          <w:b/>
          <w:bCs/>
          <w:color w:val="000000"/>
        </w:rPr>
        <w:t xml:space="preserve">。</w:t>
      </w:r>
      <w:r>
        <w:rPr>
          <w:rFonts w:hint="eastAsia" w:cs="仿宋_GB2312"/>
          <w:color w:val="000000"/>
        </w:rPr>
        <w:t xml:space="preserve">发挥随州文化印刷出版发行领域产业传统优势，积极引进湖北长江出版传媒集团等省内外大型文化出版企业集团，带动发展文化印刷出版发行产业集群</w:t>
      </w:r>
      <w:r>
        <w:rPr>
          <w:rFonts w:hint="eastAsia" w:cs="仿宋_GB2312"/>
          <w:color w:val="000000"/>
          <w:lang w:val="en-US"/>
        </w:rPr>
        <w:t xml:space="preserve">。</w:t>
      </w:r>
      <w:r>
        <w:rPr>
          <w:rFonts w:hint="eastAsia" w:cs="仿宋_GB2312"/>
          <w:color w:val="000000"/>
        </w:rPr>
        <w:t xml:space="preserve">培育壮大图书出版业，鼓励大同文化、猎豹图书文化、报业印务、广彩印刷、昌泰纸业、广泽印务等企业转型发展，</w:t>
      </w:r>
      <w:r>
        <w:rPr>
          <w:rFonts w:hint="eastAsia" w:cs="仿宋_GB2312"/>
          <w:color w:val="000000"/>
          <w:lang w:val="en-US"/>
        </w:rPr>
        <w:t xml:space="preserve">运用物联网等高新技术，建设华中国家绿色印刷包装物流产业园</w:t>
      </w:r>
      <w:r>
        <w:rPr>
          <w:rFonts w:hint="eastAsia" w:cs="仿宋_GB2312"/>
          <w:color w:val="000000"/>
        </w:rPr>
        <w:t xml:space="preserve">，打造成现代化数字出版产业园区，成为全国重要的教辅教材出版基地。</w:t>
      </w:r>
      <w:r>
        <w:rPr>
          <w:rFonts w:hint="eastAsia" w:cs="仿宋_GB2312"/>
          <w:color w:val="000000"/>
          <w:lang w:val="en-US"/>
        </w:rPr>
        <w:t xml:space="preserve">积极承接东部优势地区的产业转移，加大行业龙头企业和上下游产业引进力度，加快布局包装物流、文旅文创、教育培训、检验检测等相关产业，</w:t>
      </w:r>
      <w:r>
        <w:rPr>
          <w:rFonts w:hint="eastAsia" w:cs="仿宋_GB2312"/>
          <w:color w:val="000000"/>
        </w:rPr>
        <w:t xml:space="preserve">建设华中绿色印刷检验检测中心。加快引进国内外先进的生产技术与工艺，延长印刷出版产业链条，以造纸、金属制品制造产业为依托，提升包装产业链的节能环保技术，开发可循环、可再生资源包装，打造印刷包装全产业链条生产基地。</w:t>
      </w:r>
      <w:r>
        <w:rPr>
          <w:color w:val="000000"/>
        </w:rPr>
      </w:r>
      <w:r>
        <w:rPr>
          <w:color w:val="000000"/>
        </w:rPr>
      </w:r>
    </w:p>
    <w:p>
      <w:pPr>
        <w:pStyle w:val="737"/>
        <w:pBdr/>
        <w:spacing/>
        <w:ind w:firstLine="640"/>
        <w:rPr>
          <w:rFonts w:hint="eastAsia"/>
          <w:color w:val="000000"/>
        </w:rPr>
      </w:pPr>
      <w:r>
        <w:rPr>
          <w:rFonts w:hint="eastAsia"/>
          <w:color w:val="000000"/>
        </w:rPr>
      </w:r>
      <w:r>
        <w:rPr>
          <w:rFonts w:hint="eastAsia"/>
          <w:color w:val="000000"/>
        </w:rPr>
      </w:r>
    </w:p>
    <w:p>
      <w:pPr>
        <w:pStyle w:val="739"/>
        <w:pBdr/>
        <w:spacing/>
        <w:ind w:firstLine="720"/>
        <w:rPr>
          <w:rFonts w:hint="eastAsia" w:ascii="黑体" w:hAnsi="黑体" w:eastAsia="黑体" w:cs="黑体"/>
          <w:b w:val="0"/>
          <w:bCs w:val="0"/>
          <w:color w:val="000000"/>
        </w:rPr>
      </w:pPr>
      <w:r/>
      <w:bookmarkStart w:id="34" w:name="_Toc7982"/>
      <w:r>
        <w:rPr>
          <w:rFonts w:hint="eastAsia" w:ascii="黑体" w:hAnsi="黑体" w:eastAsia="黑体" w:cs="黑体"/>
          <w:b w:val="0"/>
          <w:bCs w:val="0"/>
          <w:color w:val="000000"/>
        </w:rPr>
        <w:t xml:space="preserve">三、壮大发展新兴产业</w:t>
      </w:r>
      <w:bookmarkEnd w:id="34"/>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color w:val="000000"/>
        </w:rPr>
      </w:pPr>
      <w:r>
        <w:rPr>
          <w:rFonts w:hint="eastAsia" w:cs="仿宋_GB2312"/>
          <w:color w:val="000000"/>
        </w:rPr>
        <w:t xml:space="preserve">优先选择一批拥有自主核心技术、代表未来方向的新兴产业，重点打造生物医药、电子信息、新能源等</w:t>
      </w:r>
      <w:r>
        <w:rPr>
          <w:rFonts w:hint="eastAsia"/>
          <w:color w:val="000000"/>
        </w:rPr>
        <w:t xml:space="preserve">三</w:t>
      </w:r>
      <w:r>
        <w:rPr>
          <w:rFonts w:hint="eastAsia" w:cs="仿宋_GB2312"/>
          <w:color w:val="000000"/>
        </w:rPr>
        <w:t xml:space="preserve">个百亿级新兴产业集群。</w:t>
      </w:r>
      <w:r>
        <w:rPr>
          <w:color w:val="000000"/>
        </w:rPr>
      </w:r>
      <w:r>
        <w:rPr>
          <w:color w:val="000000"/>
        </w:rPr>
      </w:r>
    </w:p>
    <w:p>
      <w:pPr>
        <w:pStyle w:val="737"/>
        <w:pBdr/>
        <w:spacing/>
        <w:ind w:firstLine="643"/>
        <w:rPr>
          <w:color w:val="000000"/>
          <w:sz w:val="21"/>
          <w:szCs w:val="21"/>
        </w:rPr>
      </w:pPr>
      <w:r>
        <w:rPr>
          <w:rFonts w:hint="eastAsia" w:ascii="楷体_GB2312" w:hAnsi="楷体_GB2312" w:eastAsia="楷体_GB2312" w:cs="楷体_GB2312"/>
          <w:b/>
          <w:bCs/>
          <w:color w:val="000000"/>
        </w:rPr>
        <w:t xml:space="preserve">生物医药</w:t>
      </w:r>
      <w:r>
        <w:rPr>
          <w:rFonts w:hint="eastAsia" w:cs="仿宋_GB2312"/>
          <w:b/>
          <w:bCs/>
          <w:color w:val="000000"/>
        </w:rPr>
        <w:t xml:space="preserve">。</w:t>
      </w:r>
      <w:r>
        <w:rPr>
          <w:rFonts w:hint="eastAsia" w:cs="仿宋_GB2312"/>
          <w:color w:val="000000"/>
        </w:rPr>
        <w:t xml:space="preserve">抢抓长三角、珠三角城市群医药产业向内陆转移机遇，以随州现有医药企业为基础，加快引进一批生物医药企业和项目，做大做强生物医药产业。加快发展中医药产业，支持随县同创农业、高城鸿发、三元特产、大洪山园泰等企业实现中药材产业链融合发展，</w:t>
      </w:r>
      <w:r>
        <w:rPr>
          <w:rFonts w:hint="eastAsia" w:cs="仿宋_GB2312"/>
          <w:color w:val="000000"/>
          <w:lang w:val="en-US"/>
        </w:rPr>
        <w:t xml:space="preserve">在尚市、淮河、草店、均川、洛阳、蔡河等镇建设一批中医药种植和加工产业化项目，</w:t>
      </w:r>
      <w:r>
        <w:rPr>
          <w:rFonts w:hint="eastAsia" w:cs="仿宋_GB2312"/>
          <w:color w:val="000000"/>
        </w:rPr>
        <w:t xml:space="preserve">创建国家优质中药材种养殖基地</w:t>
      </w:r>
      <w:r>
        <w:rPr>
          <w:rFonts w:hint="eastAsia" w:cs="仿宋_GB2312"/>
          <w:color w:val="000000"/>
          <w:lang w:val="en-US"/>
        </w:rPr>
        <w:t xml:space="preserve">。</w:t>
      </w:r>
      <w:r>
        <w:rPr>
          <w:rFonts w:hint="eastAsia" w:cs="仿宋_GB2312"/>
          <w:color w:val="000000"/>
        </w:rPr>
        <w:t xml:space="preserve">鼓励健民叶开泰、广仁药业、神农百草药业做大做强，支持尚市牡丹产业园、二月风食品、小森林蜂胶等企业加强中药保健品、功能食品饮料等中医药系列产品的研发。促进生物医药与大健康产业融合发展，鼓励双星生物、利康</w:t>
      </w:r>
      <w:r>
        <w:rPr>
          <w:rFonts w:hint="eastAsia" w:cs="仿宋_GB2312"/>
          <w:color w:val="000000"/>
          <w:lang w:val="en-US"/>
        </w:rPr>
        <w:t xml:space="preserve">药业、鄂北制药等企业</w:t>
      </w:r>
      <w:r>
        <w:rPr>
          <w:rFonts w:hint="eastAsia" w:cs="仿宋_GB2312"/>
          <w:color w:val="000000"/>
        </w:rPr>
        <w:t xml:space="preserve">加大科技投入，推动医药行业创新发展，开发新型生物药品、生物保健品和高科技生物医疗器械。加快建设智能制药、医药综合体、可注射人工骨等重大项目，构建产品研发、检测、生产、销售、仓储物流体系，打造中部地区医药产业研发和生产基地。</w:t>
      </w:r>
      <w:r>
        <w:rPr>
          <w:color w:val="000000"/>
          <w:sz w:val="21"/>
          <w:szCs w:val="21"/>
        </w:rPr>
      </w:r>
      <w:r>
        <w:rPr>
          <w:color w:val="000000"/>
          <w:sz w:val="21"/>
          <w:szCs w:val="21"/>
        </w:rPr>
      </w:r>
    </w:p>
    <w:p>
      <w:pPr>
        <w:pStyle w:val="737"/>
        <w:pBdr/>
        <w:spacing/>
        <w:ind w:firstLine="643"/>
        <w:rPr>
          <w:color w:val="000000"/>
        </w:rPr>
      </w:pPr>
      <w:r>
        <w:rPr>
          <w:rFonts w:hint="eastAsia" w:ascii="楷体_GB2312" w:hAnsi="楷体_GB2312" w:eastAsia="楷体_GB2312" w:cs="楷体_GB2312"/>
          <w:b/>
          <w:bCs/>
          <w:color w:val="000000"/>
        </w:rPr>
        <w:t xml:space="preserve">电子信息</w:t>
      </w:r>
      <w:r>
        <w:rPr>
          <w:rFonts w:hint="eastAsia" w:cs="仿宋_GB2312"/>
          <w:b/>
          <w:bCs/>
          <w:color w:val="000000"/>
        </w:rPr>
        <w:t xml:space="preserve">。</w:t>
      </w:r>
      <w:r>
        <w:rPr>
          <w:rFonts w:hint="eastAsia" w:cs="仿宋_GB2312"/>
          <w:color w:val="000000"/>
        </w:rPr>
        <w:t xml:space="preserve">建设电子信息产业园，重点发展通讯设备制造、电子</w:t>
      </w:r>
      <w:r>
        <w:rPr>
          <w:rFonts w:hint="eastAsia" w:cs="仿宋_GB2312"/>
          <w:color w:val="000000"/>
          <w:lang w:eastAsia="zh-CN"/>
        </w:rPr>
        <w:t xml:space="preserve">元</w:t>
      </w:r>
      <w:r>
        <w:rPr>
          <w:rFonts w:hint="eastAsia" w:cs="仿宋_GB2312"/>
          <w:color w:val="000000"/>
        </w:rPr>
        <w:t xml:space="preserve">器件制造、锂电池等电子设备制造业，提升产业基础能力，打造电子信息产业集群，形成全省重要的电子信息产业基地和</w:t>
      </w:r>
      <w:r>
        <w:rPr>
          <w:color w:val="000000"/>
        </w:rPr>
        <w:t xml:space="preserve">5G</w:t>
      </w:r>
      <w:r>
        <w:rPr>
          <w:rFonts w:hint="eastAsia" w:cs="仿宋_GB2312"/>
          <w:color w:val="000000"/>
        </w:rPr>
        <w:t xml:space="preserve">科技产业园区。支持电子信息龙头企业做大做强，依托泰晶科技、允升科技、广益通讯设备等电子信息龙头企业，鼓励新技术的创新和引进，提高音叉晶体谐振器、新型电力电子器件、新型显示器件、高频率器件及其锂离子电芯、光纤电流传感器等产品的研发生产能力。</w:t>
      </w:r>
      <w:r>
        <w:rPr>
          <w:color w:val="000000"/>
        </w:rPr>
      </w:r>
      <w:r>
        <w:rPr>
          <w:color w:val="000000"/>
        </w:rPr>
      </w:r>
    </w:p>
    <w:p>
      <w:pPr>
        <w:pStyle w:val="737"/>
        <w:pBdr/>
        <w:spacing/>
        <w:ind w:firstLine="643"/>
        <w:rPr>
          <w:rFonts w:hint="eastAsia"/>
          <w:color w:val="000000"/>
        </w:rPr>
      </w:pPr>
      <w:r>
        <w:rPr>
          <w:rFonts w:hint="eastAsia" w:ascii="楷体_GB2312" w:hAnsi="楷体_GB2312" w:eastAsia="楷体_GB2312" w:cs="楷体_GB2312"/>
          <w:b/>
          <w:bCs/>
          <w:color w:val="000000"/>
        </w:rPr>
        <w:t xml:space="preserve">新能源</w:t>
      </w:r>
      <w:r>
        <w:rPr>
          <w:rFonts w:hint="eastAsia"/>
          <w:b/>
          <w:bCs/>
          <w:color w:val="000000"/>
        </w:rPr>
        <w:t xml:space="preserve">。</w:t>
      </w:r>
      <w:r>
        <w:rPr>
          <w:rFonts w:hint="eastAsia" w:cs="仿宋_GB2312"/>
          <w:color w:val="000000"/>
        </w:rPr>
        <w:t xml:space="preserve">大力发展清洁能源，有序建设风力发电，</w:t>
      </w:r>
      <w:r>
        <w:rPr>
          <w:rFonts w:ascii="Times New Roman" w:hAnsi="Times New Roman"/>
          <w:color w:val="000000"/>
          <w:lang w:val="en-US"/>
        </w:rPr>
        <w:t xml:space="preserve">探索</w:t>
      </w:r>
      <w:r>
        <w:rPr>
          <w:rFonts w:hint="eastAsia" w:ascii="Times New Roman" w:hAnsi="Times New Roman"/>
          <w:color w:val="000000"/>
          <w:lang w:val="en-US"/>
        </w:rPr>
        <w:t xml:space="preserve">发展</w:t>
      </w:r>
      <w:r>
        <w:rPr>
          <w:rFonts w:ascii="Times New Roman" w:hAnsi="Times New Roman"/>
          <w:color w:val="000000"/>
          <w:lang w:val="en-US"/>
        </w:rPr>
        <w:t xml:space="preserve">农光互补、茶光互补</w:t>
      </w:r>
      <w:r>
        <w:rPr>
          <w:rFonts w:hint="eastAsia" w:ascii="Times New Roman" w:hAnsi="Times New Roman"/>
          <w:color w:val="000000"/>
          <w:lang w:val="en-US" w:eastAsia="zh-CN"/>
        </w:rPr>
        <w:t xml:space="preserve">、水光互补</w:t>
      </w:r>
      <w:r>
        <w:rPr>
          <w:rFonts w:ascii="Times New Roman" w:hAnsi="Times New Roman"/>
          <w:color w:val="000000"/>
          <w:lang w:val="en-US"/>
        </w:rPr>
        <w:t xml:space="preserve">等</w:t>
      </w:r>
      <w:r>
        <w:rPr>
          <w:rFonts w:hint="eastAsia" w:ascii="Times New Roman" w:hAnsi="Times New Roman"/>
          <w:color w:val="000000"/>
          <w:lang w:val="en-US"/>
        </w:rPr>
        <w:t xml:space="preserve">新型</w:t>
      </w:r>
      <w:r>
        <w:rPr>
          <w:rFonts w:ascii="Times New Roman" w:hAnsi="Times New Roman"/>
          <w:color w:val="000000"/>
          <w:lang w:val="en-US"/>
        </w:rPr>
        <w:t xml:space="preserve">光伏</w:t>
      </w:r>
      <w:r>
        <w:rPr>
          <w:rFonts w:hint="eastAsia" w:ascii="Times New Roman" w:hAnsi="Times New Roman"/>
          <w:color w:val="000000"/>
          <w:lang w:val="en-US"/>
        </w:rPr>
        <w:t xml:space="preserve">发电</w:t>
      </w:r>
      <w:r>
        <w:rPr>
          <w:rFonts w:ascii="Times New Roman" w:hAnsi="Times New Roman"/>
          <w:color w:val="000000"/>
          <w:lang w:val="en-US"/>
        </w:rPr>
        <w:t xml:space="preserve">项目</w:t>
      </w:r>
      <w:r>
        <w:rPr>
          <w:rFonts w:hint="eastAsia" w:ascii="Times New Roman" w:hAnsi="Times New Roman"/>
          <w:color w:val="000000"/>
          <w:lang w:val="en-US"/>
        </w:rPr>
        <w:t xml:space="preserve">，</w:t>
      </w:r>
      <w:r>
        <w:rPr>
          <w:rFonts w:ascii="Times New Roman" w:hAnsi="Times New Roman"/>
          <w:color w:val="000000"/>
          <w:lang w:val="en-US"/>
        </w:rPr>
        <w:t xml:space="preserve">合理利用生物质资源</w:t>
      </w:r>
      <w:r>
        <w:rPr>
          <w:rFonts w:hint="eastAsia" w:ascii="Times New Roman" w:hAnsi="Times New Roman"/>
          <w:color w:val="000000"/>
          <w:lang w:val="en-US"/>
        </w:rPr>
        <w:t xml:space="preserve">布局</w:t>
      </w:r>
      <w:r>
        <w:rPr>
          <w:rFonts w:ascii="Times New Roman" w:hAnsi="Times New Roman"/>
          <w:color w:val="000000"/>
          <w:lang w:val="en-US"/>
        </w:rPr>
        <w:t xml:space="preserve">生物质热电联产项目</w:t>
      </w:r>
      <w:r>
        <w:rPr>
          <w:rFonts w:ascii="Times New Roman" w:hAnsi="Times New Roman"/>
          <w:color w:val="000000"/>
        </w:rPr>
        <w:t xml:space="preserve">，</w:t>
      </w:r>
      <w:r>
        <w:rPr>
          <w:rFonts w:hint="eastAsia" w:ascii="Times New Roman" w:hAnsi="Times New Roman"/>
          <w:color w:val="000000"/>
        </w:rPr>
        <w:t xml:space="preserve">加快推进曾都万店镇</w:t>
      </w:r>
      <w:r>
        <w:rPr>
          <w:rFonts w:hint="eastAsia" w:ascii="Times New Roman" w:hAnsi="Times New Roman"/>
          <w:color w:val="000000"/>
          <w:lang w:val="en-US"/>
        </w:rPr>
        <w:t xml:space="preserve">农光互补、万店风电、随县尚市镇农光互补、洪山镇农光互补、中广核余店风电、京能马坪镇集中式光伏发电等新能源项目建设，</w:t>
      </w:r>
      <w:r>
        <w:rPr>
          <w:rFonts w:ascii="Times New Roman" w:hAnsi="Times New Roman"/>
          <w:color w:val="000000"/>
        </w:rPr>
        <w:t xml:space="preserve">巩固随州新能源产业发展在全省的领先地位。</w:t>
      </w:r>
      <w:r>
        <w:rPr>
          <w:rFonts w:hint="eastAsia"/>
          <w:color w:val="000000"/>
        </w:rPr>
      </w:r>
      <w:r>
        <w:rPr>
          <w:rFonts w:hint="eastAsia"/>
          <w:color w:val="000000"/>
        </w:rPr>
      </w:r>
    </w:p>
    <w:p>
      <w:pPr>
        <w:pStyle w:val="737"/>
        <w:pBdr/>
        <w:spacing/>
        <w:ind w:firstLine="640"/>
        <w:rPr>
          <w:rFonts w:hint="eastAsia"/>
          <w:color w:val="000000"/>
        </w:rPr>
      </w:pPr>
      <w:r>
        <w:rPr>
          <w:rFonts w:hint="eastAsia"/>
          <w:color w:val="000000"/>
        </w:rPr>
      </w:r>
      <w:r>
        <w:rPr>
          <w:rFonts w:hint="eastAsia"/>
          <w:color w:val="000000"/>
        </w:rPr>
      </w:r>
    </w:p>
    <w:p>
      <w:pPr>
        <w:pStyle w:val="739"/>
        <w:pBdr/>
        <w:spacing/>
        <w:ind w:firstLine="720"/>
        <w:rPr>
          <w:rFonts w:hint="eastAsia" w:ascii="黑体" w:hAnsi="黑体" w:eastAsia="黑体" w:cs="黑体"/>
          <w:b w:val="0"/>
          <w:bCs w:val="0"/>
          <w:color w:val="000000"/>
        </w:rPr>
      </w:pPr>
      <w:r/>
      <w:bookmarkStart w:id="35" w:name="_Toc22313"/>
      <w:r>
        <w:rPr>
          <w:rFonts w:hint="eastAsia" w:ascii="黑体" w:hAnsi="黑体" w:eastAsia="黑体" w:cs="黑体"/>
          <w:b w:val="0"/>
          <w:bCs w:val="0"/>
          <w:color w:val="000000"/>
        </w:rPr>
        <w:t xml:space="preserve">四、转型发展传统产业</w:t>
      </w:r>
      <w:bookmarkEnd w:id="35"/>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rFonts w:hint="eastAsia" w:cs="仿宋_GB2312"/>
          <w:color w:val="000000"/>
        </w:rPr>
      </w:pPr>
      <w:r>
        <w:rPr>
          <w:rFonts w:hint="eastAsia" w:cs="仿宋_GB2312"/>
          <w:color w:val="000000"/>
        </w:rPr>
        <w:t xml:space="preserve">立足区域资源禀赋和产业比较优势，坚持有所为、有所不为，按照“进退并转、分类指导”的路子，推动传统产业转型升级，打造纺织服装、新型建材、冶金铸造三个百亿级产业集群。</w:t>
      </w:r>
      <w:r>
        <w:rPr>
          <w:rFonts w:hint="eastAsia" w:cs="仿宋_GB2312"/>
          <w:color w:val="000000"/>
        </w:rPr>
      </w:r>
      <w:r>
        <w:rPr>
          <w:rFonts w:hint="eastAsia" w:cs="仿宋_GB2312"/>
          <w:color w:val="000000"/>
        </w:rPr>
      </w:r>
    </w:p>
    <w:p>
      <w:pPr>
        <w:pStyle w:val="737"/>
        <w:pBdr/>
        <w:spacing/>
        <w:ind w:firstLine="643"/>
        <w:rPr>
          <w:rFonts w:cs="仿宋_GB2312"/>
          <w:color w:val="000000"/>
        </w:rPr>
      </w:pPr>
      <w:r>
        <w:rPr>
          <w:rFonts w:hint="eastAsia" w:ascii="楷体_GB2312" w:hAnsi="楷体_GB2312" w:eastAsia="楷体_GB2312" w:cs="楷体_GB2312"/>
          <w:b/>
          <w:bCs/>
          <w:color w:val="000000"/>
        </w:rPr>
        <w:t xml:space="preserve">纺织服装</w:t>
      </w:r>
      <w:r>
        <w:rPr>
          <w:rFonts w:hint="eastAsia" w:cs="仿宋_GB2312"/>
          <w:color w:val="000000"/>
        </w:rPr>
        <w:t xml:space="preserve">。立足随州在纺纱、织布等领域的产业基础，积极承接长三角和珠三角地区纺织服装产业转移，持续强</w:t>
      </w:r>
      <w:r>
        <w:rPr>
          <w:rFonts w:hint="eastAsia" w:cs="仿宋_GB2312"/>
          <w:color w:val="000000"/>
        </w:rPr>
        <w:t xml:space="preserve">链、补链、延链，打破产业两头在外的困局，提升纺织服装产品质量检测能力，加快纺织服装产业向深加工和中高档产品转型发展。鼓励采用智能化、连续化纺纱成套装备，生产高品质纱线。依托纺织服装龙头企业，重点发展适应市场需求的高端棉纺织技术和精特产品，加快布局发展高端纺织品和高端面料。鼓励本地企业迎合市场需求，布局生产时尚服装和高档服装领域的重点垂直品类。大力推动冰姿服饰重组、厉山纺织工业园升级改造，支持曾都区力丰针织、晖宏兴布业、随县艺鑫棉业、华裕纺织、雄丰布业、广水市昌瑞纺织、强海鞋业、新诚达时装等企业发展壮大，形成</w:t>
      </w:r>
      <w:bookmarkStart w:id="36" w:name="_Hlk57131409"/>
      <w:r>
        <w:rPr>
          <w:rFonts w:hint="eastAsia" w:cs="仿宋_GB2312"/>
          <w:color w:val="000000"/>
        </w:rPr>
        <w:t xml:space="preserve">纺织服装</w:t>
      </w:r>
      <w:bookmarkEnd w:id="36"/>
      <w:r>
        <w:rPr>
          <w:rFonts w:hint="eastAsia" w:cs="仿宋_GB2312"/>
          <w:color w:val="000000"/>
        </w:rPr>
        <w:t xml:space="preserve">完整产业链，打造华中地区重要的棉纱纺织和服装生产基地。</w:t>
      </w:r>
      <w:r>
        <w:rPr>
          <w:rFonts w:cs="仿宋_GB2312"/>
          <w:color w:val="000000"/>
        </w:rPr>
      </w:r>
      <w:r>
        <w:rPr>
          <w:rFonts w:cs="仿宋_GB2312"/>
          <w:color w:val="000000"/>
        </w:rPr>
      </w:r>
    </w:p>
    <w:p>
      <w:pPr>
        <w:pStyle w:val="737"/>
        <w:pBdr/>
        <w:spacing/>
        <w:ind w:firstLine="643"/>
        <w:rPr>
          <w:rFonts w:cs="仿宋_GB2312"/>
          <w:color w:val="000000"/>
        </w:rPr>
      </w:pPr>
      <w:r>
        <w:rPr>
          <w:rFonts w:hint="eastAsia" w:ascii="楷体_GB2312" w:hAnsi="楷体_GB2312" w:eastAsia="楷体_GB2312" w:cs="楷体_GB2312"/>
          <w:b/>
          <w:bCs/>
          <w:color w:val="000000"/>
        </w:rPr>
        <w:t xml:space="preserve">新型建材</w:t>
      </w:r>
      <w:r>
        <w:rPr>
          <w:rFonts w:hint="eastAsia" w:cs="仿宋_GB2312"/>
          <w:color w:val="000000"/>
        </w:rPr>
        <w:t xml:space="preserve">。规范发展石材产业，引</w:t>
      </w:r>
      <w:r>
        <w:rPr>
          <w:rFonts w:hint="eastAsia" w:cs="仿宋_GB2312"/>
          <w:color w:val="000000"/>
        </w:rPr>
        <w:t xml:space="preserve">导随县石材资源向技术装备先进、资源利用率高、环境保护和安全生产达标的大型优势企业集聚，推动石材企业由粗放经营型向精深加工型转变，加快开发墙材新产品、新技术，扩大新型墙材生产规模，形成优势产业集群，支持随县建设石材绿色循环产业园。鼓励随州金环水泥转型升级，提高水泥自给率和产品竞争力，推广应用干混砂浆和特种保温砂浆。发展壮大涂布新材料、新型建筑防水材料，扶持培育新型建筑装饰装修材料，支持以金龙新材料、永阳材料、广净环保、大洋塑胶等企业为依托建设华中地区重要的环保材料研发生产基地、防水卷材基地、新型建材制造基地。</w:t>
      </w:r>
      <w:r>
        <w:rPr>
          <w:rFonts w:cs="仿宋_GB2312"/>
          <w:color w:val="000000"/>
        </w:rPr>
      </w:r>
      <w:r>
        <w:rPr>
          <w:rFonts w:cs="仿宋_GB2312"/>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冶金铸造</w:t>
      </w:r>
      <w:r>
        <w:rPr>
          <w:rFonts w:hint="eastAsia" w:cs="仿宋_GB2312"/>
          <w:b/>
          <w:bCs/>
          <w:color w:val="000000"/>
        </w:rPr>
        <w:t xml:space="preserve">。</w:t>
      </w:r>
      <w:r>
        <w:rPr>
          <w:rFonts w:hint="eastAsia" w:cs="仿宋_GB2312"/>
          <w:color w:val="000000"/>
        </w:rPr>
        <w:t xml:space="preserve">加快冶金铸造产业结构优化调整，支持新兴铸造、华鑫冶金等企业积极采用先进冶金、铸造技术与工艺装备，支持华鑫冶金通过产能整合实现做大做强，开发与随州专用汽车产业配套的特优钢。鼓励冶金铸造企业加强基础能力建设和自主创新建设，增强企业竞争力，打造全省重要的钢铁冶金产业基地。</w:t>
      </w:r>
      <w:r>
        <w:rPr>
          <w:rFonts w:hint="eastAsia" w:cs="仿宋_GB2312"/>
          <w:color w:val="000000"/>
        </w:rPr>
      </w:r>
      <w:r>
        <w:rPr>
          <w:rFonts w:hint="eastAsia" w:cs="仿宋_GB2312"/>
          <w:color w:val="000000"/>
        </w:rPr>
      </w:r>
    </w:p>
    <w:p>
      <w:pPr>
        <w:pStyle w:val="745"/>
        <w:pBdr/>
        <w:spacing/>
        <w:ind w:firstLine="640" w:left="640"/>
        <w:rPr>
          <w:rFonts w:hint="eastAsia"/>
        </w:rPr>
      </w:pPr>
      <w:r>
        <w:rPr>
          <w:rFonts w:hint="eastAsia"/>
        </w:rPr>
      </w:r>
      <w:r>
        <w:rPr>
          <w:rFonts w:hint="eastAsia"/>
        </w:rPr>
      </w:r>
    </w:p>
    <w:p>
      <w:pPr>
        <w:pStyle w:val="739"/>
        <w:pBdr/>
        <w:spacing/>
        <w:ind w:firstLine="720"/>
        <w:rPr>
          <w:rFonts w:hint="eastAsia" w:ascii="黑体" w:hAnsi="黑体" w:eastAsia="黑体" w:cs="黑体"/>
          <w:b w:val="0"/>
          <w:bCs w:val="0"/>
          <w:color w:val="000000"/>
        </w:rPr>
      </w:pPr>
      <w:r/>
      <w:bookmarkStart w:id="37" w:name="_Toc17845"/>
      <w:r>
        <w:rPr>
          <w:rFonts w:hint="eastAsia" w:ascii="黑体" w:hAnsi="黑体" w:eastAsia="黑体" w:cs="黑体"/>
          <w:b w:val="0"/>
          <w:bCs w:val="0"/>
          <w:color w:val="000000"/>
        </w:rPr>
        <w:t xml:space="preserve">五、提质发展现代服务业</w:t>
      </w:r>
      <w:bookmarkEnd w:id="37"/>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rFonts w:hint="eastAsia"/>
          <w:color w:val="000000"/>
        </w:rPr>
      </w:pPr>
      <w:r>
        <w:rPr>
          <w:rFonts w:hint="eastAsia"/>
          <w:color w:val="000000"/>
        </w:rPr>
        <w:t xml:space="preserve">优化提升商贸物流、生态康养、金融服务等服务业发展的质量和层次，带动区域人流、物流、信息流、资金流向随州集聚，不断厚植服务业发展优势。</w:t>
      </w:r>
      <w:r>
        <w:rPr>
          <w:rFonts w:hint="eastAsia"/>
          <w:color w:val="000000"/>
        </w:rPr>
      </w:r>
      <w:r>
        <w:rPr>
          <w:rFonts w:hint="eastAsia"/>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商贸物流</w:t>
      </w:r>
      <w:r>
        <w:rPr>
          <w:rFonts w:hint="eastAsia"/>
          <w:b/>
          <w:bCs/>
          <w:color w:val="000000"/>
        </w:rPr>
        <w:t xml:space="preserve">。</w:t>
      </w:r>
      <w:r>
        <w:rPr>
          <w:rFonts w:hint="eastAsia"/>
          <w:color w:val="000000"/>
        </w:rPr>
        <w:t xml:space="preserve">优化城乡商业网点布局，依托吾悦广场、万达广场、卓尔青铜古镇分别在城北、城南、城西打造集商务、购物、文化、娱乐一体的城市商圈，引进大型商贸企业对老火车站片区改造，建设城东商圈。大力发展社区商业，打造社区“</w:t>
      </w:r>
      <w:r>
        <w:rPr>
          <w:color w:val="000000"/>
        </w:rPr>
        <w:t xml:space="preserve">10分钟生活圈”。</w:t>
      </w:r>
      <w:r>
        <w:rPr>
          <w:rFonts w:hint="eastAsia"/>
          <w:color w:val="000000"/>
        </w:rPr>
        <w:t xml:space="preserve">补齐冷链物流短板，发展网仓园区、液化品物流、无车承运人等物流新业态。依托随州特色产业，建设一批专业物流园区以及快递物流集散中心，打造</w:t>
      </w:r>
      <w:r>
        <w:rPr>
          <w:rFonts w:hint="eastAsia" w:cs="仿宋_GB2312"/>
          <w:color w:val="000000"/>
          <w:lang w:bidi="ar"/>
        </w:rPr>
        <w:t xml:space="preserve">多功能、高层次、集散功能强、辐射范围广泛的现代物流中心</w:t>
      </w:r>
      <w:r>
        <w:rPr>
          <w:rFonts w:hint="eastAsia"/>
          <w:color w:val="000000"/>
        </w:rPr>
        <w:t xml:space="preserve">，支持曾都区建设专用汽车电商基地和区域性电商仓储分拨中心。</w:t>
      </w:r>
      <w:r>
        <w:rPr>
          <w:rFonts w:hint="eastAsia" w:cs="仿宋_GB2312"/>
          <w:color w:val="000000"/>
        </w:rPr>
        <w:t xml:space="preserve">鼓励小微网商和个人创业者依托第三方平台开展网络分销与零售业务，形成一批网商集聚区。到</w:t>
      </w:r>
      <w:r>
        <w:rPr>
          <w:color w:val="000000"/>
        </w:rPr>
        <w:t xml:space="preserve">2025</w:t>
      </w:r>
      <w:r>
        <w:rPr>
          <w:rFonts w:hint="eastAsia" w:cs="仿宋_GB2312"/>
          <w:color w:val="000000"/>
        </w:rPr>
        <w:t xml:space="preserve">年，全市电商企业超过</w:t>
      </w:r>
      <w:r>
        <w:rPr>
          <w:color w:val="000000"/>
        </w:rPr>
        <w:t xml:space="preserve">1000</w:t>
      </w:r>
      <w:r>
        <w:rPr>
          <w:rFonts w:hint="eastAsia" w:cs="仿宋_GB2312"/>
          <w:color w:val="000000"/>
        </w:rPr>
        <w:t xml:space="preserve">家，电子商务年交易额突破</w:t>
      </w:r>
      <w:r>
        <w:rPr>
          <w:color w:val="000000"/>
        </w:rPr>
        <w:t xml:space="preserve">480</w:t>
      </w:r>
      <w:r>
        <w:rPr>
          <w:rFonts w:hint="eastAsia" w:cs="仿宋_GB2312"/>
          <w:color w:val="000000"/>
        </w:rPr>
        <w:t xml:space="preserve">亿元，随州成为具有一定竞争力、影响力、辐射力的区域性电子商务中心城市。</w:t>
      </w:r>
      <w:r>
        <w:rPr>
          <w:rFonts w:hint="eastAsia" w:cs="仿宋_GB2312"/>
          <w:color w:val="000000"/>
        </w:rPr>
      </w:r>
      <w:r>
        <w:rPr>
          <w:rFonts w:hint="eastAsia" w:cs="仿宋_GB2312"/>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生态康养</w:t>
      </w:r>
      <w:r>
        <w:rPr>
          <w:rFonts w:hint="eastAsia" w:cs="仿宋_GB2312"/>
          <w:b/>
          <w:bCs/>
          <w:color w:val="000000"/>
        </w:rPr>
        <w:t xml:space="preserve">。</w:t>
      </w:r>
      <w:r>
        <w:rPr>
          <w:rFonts w:hint="eastAsia" w:cs="仿宋_GB2312"/>
          <w:color w:val="000000"/>
        </w:rPr>
        <w:t xml:space="preserve">以开展国家级医养结合试点单位建设为契机，大力推动健康与养老、旅游、健身休闲等产业融合发展，打造华中地区最有影响力的康养度假中心。支持曾都区建设随州国际银杏康养谷，随县建设抱朴谷养生生态园、大洪山风景名胜区建设文旅康养综合体及慈云医康养项目，广水市建设三潭康养基地。发展中医药特色养老机构，鼓励社会资本参与建设中医药养生保健机构，加快建设以中医药健康养老为核心的护理院和疗养院。推进医养结合，补齐居家社区养老服务设施短板，推行“物业服务</w:t>
      </w:r>
      <w:r>
        <w:rPr>
          <w:rFonts w:hint="eastAsia" w:cs="仿宋_GB2312"/>
          <w:color w:val="000000"/>
          <w:lang w:val="en-US"/>
        </w:rPr>
        <w:t xml:space="preserve">+养老服务”居家社区养老模式，</w:t>
      </w:r>
      <w:r>
        <w:rPr>
          <w:rFonts w:hint="eastAsia" w:cs="仿宋_GB2312"/>
          <w:color w:val="000000"/>
        </w:rPr>
        <w:t xml:space="preserve">构建</w:t>
      </w:r>
      <w:r>
        <w:rPr>
          <w:color w:val="000000"/>
        </w:rPr>
        <w:t xml:space="preserve">“</w:t>
      </w:r>
      <w:r>
        <w:rPr>
          <w:rFonts w:hint="eastAsia" w:cs="仿宋_GB2312"/>
          <w:color w:val="000000"/>
        </w:rPr>
        <w:t xml:space="preserve">互联网</w:t>
      </w:r>
      <w:r>
        <w:rPr>
          <w:color w:val="000000"/>
        </w:rPr>
        <w:t xml:space="preserve">+</w:t>
      </w:r>
      <w:r>
        <w:rPr>
          <w:rFonts w:hint="eastAsia" w:cs="仿宋_GB2312"/>
          <w:color w:val="000000"/>
        </w:rPr>
        <w:t xml:space="preserve">居民养老</w:t>
      </w:r>
      <w:r>
        <w:rPr>
          <w:color w:val="000000"/>
        </w:rPr>
        <w:t xml:space="preserve">”</w:t>
      </w:r>
      <w:r>
        <w:rPr>
          <w:rFonts w:hint="eastAsia" w:cs="仿宋_GB2312"/>
          <w:color w:val="000000"/>
        </w:rPr>
        <w:t xml:space="preserve">的智慧养老服务体系，发展个性化智慧预防、康复、健康咨询、移动健身等健康管理服务。</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金融服务</w:t>
      </w:r>
      <w:r>
        <w:rPr>
          <w:rFonts w:hint="eastAsia" w:cs="仿宋_GB2312"/>
          <w:b/>
          <w:bCs/>
          <w:color w:val="000000"/>
        </w:rPr>
        <w:t xml:space="preserve">。</w:t>
      </w:r>
      <w:r>
        <w:rPr>
          <w:rFonts w:hint="eastAsia" w:cs="仿宋_GB2312"/>
          <w:color w:val="000000"/>
        </w:rPr>
        <w:t xml:space="preserve">完善金融组织体系，积极</w:t>
      </w:r>
      <w:r>
        <w:rPr>
          <w:rFonts w:cs="仿宋_GB2312"/>
          <w:color w:val="000000"/>
        </w:rPr>
        <w:t xml:space="preserve">引进</w:t>
      </w:r>
      <w:r>
        <w:rPr>
          <w:rFonts w:hint="eastAsia" w:cs="仿宋_GB2312"/>
          <w:color w:val="000000"/>
        </w:rPr>
        <w:t xml:space="preserve">更多</w:t>
      </w:r>
      <w:r>
        <w:rPr>
          <w:rFonts w:cs="仿宋_GB2312"/>
          <w:color w:val="000000"/>
        </w:rPr>
        <w:t xml:space="preserve">金融机构</w:t>
      </w:r>
      <w:r>
        <w:rPr>
          <w:rFonts w:hint="eastAsia" w:cs="仿宋_GB2312"/>
          <w:color w:val="000000"/>
        </w:rPr>
        <w:t xml:space="preserve">，</w:t>
      </w:r>
      <w:r>
        <w:rPr>
          <w:rFonts w:cs="仿宋_GB2312"/>
          <w:color w:val="000000"/>
        </w:rPr>
        <w:t xml:space="preserve">壮大地方金融主体</w:t>
      </w:r>
      <w:r>
        <w:rPr>
          <w:rFonts w:hint="eastAsia" w:cs="仿宋_GB2312"/>
          <w:color w:val="000000"/>
        </w:rPr>
        <w:t xml:space="preserve">。大力发展普惠金融，引导金融机构扩展普惠金融业务，加强保险资金运用，推进银税互动、银保合作、供应链融资等模式。培育绿色金融体系，提供绿色融资服务。鼓励金融机构积极研发符合本地产业特色的金融产品，推进知识产权、应收账款抵押贷款等融资模式。推动线上保险、线上银行等金融新业态发展，积极推进消费金融信贷产品研发与创新，提供精准的金融产品和金融服务。到</w:t>
      </w:r>
      <w:r>
        <w:rPr>
          <w:color w:val="000000"/>
        </w:rPr>
        <w:t xml:space="preserve">2025</w:t>
      </w:r>
      <w:r>
        <w:rPr>
          <w:rFonts w:hint="eastAsia" w:cs="仿宋_GB2312"/>
          <w:color w:val="000000"/>
        </w:rPr>
        <w:t xml:space="preserve">年，金融业增加值占地区生产总值比重达到</w:t>
      </w:r>
      <w:r>
        <w:rPr>
          <w:color w:val="000000"/>
        </w:rPr>
        <w:t xml:space="preserve">8%</w:t>
      </w:r>
      <w:r>
        <w:rPr>
          <w:rFonts w:hint="eastAsia" w:cs="仿宋_GB2312"/>
          <w:color w:val="000000"/>
        </w:rPr>
        <w:t xml:space="preserve">。</w:t>
      </w:r>
      <w:r>
        <w:rPr>
          <w:color w:val="000000"/>
        </w:rPr>
      </w:r>
      <w:r>
        <w:rPr>
          <w:color w:val="000000"/>
        </w:rPr>
      </w:r>
    </w:p>
    <w:tbl>
      <w:tblPr>
        <w:tblW w:w="0" w:type="auto"/>
        <w:tblInd w:w="-1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4A0" w:firstRow="1" w:lastRow="0" w:firstColumn="1" w:lastColumn="0" w:noHBand="0" w:noVBand="1"/>
      </w:tblPr>
      <w:tblGrid>
        <w:gridCol w:w="8834"/>
      </w:tblGrid>
      <w:tr>
        <w:trPr/>
        <w:tc>
          <w:tcPr>
            <w:tcBorders/>
            <w:tcW w:w="8834" w:type="dxa"/>
            <w:vAlign w:val="top"/>
            <w:textDirection w:val="lrTb"/>
            <w:noWrap w:val="false"/>
          </w:tcPr>
          <w:p>
            <w:pPr>
              <w:pStyle w:val="797"/>
              <w:pBdr/>
              <w:spacing/>
              <w:ind w:firstLine="562"/>
              <w:jc w:val="center"/>
              <w:rPr>
                <w:b/>
                <w:bCs/>
                <w:color w:val="000000"/>
              </w:rPr>
            </w:pPr>
            <w:r>
              <w:rPr>
                <w:rFonts w:hint="eastAsia" w:cs="宋体"/>
                <w:b/>
                <w:bCs/>
                <w:color w:val="000000"/>
                <w:sz w:val="28"/>
                <w:szCs w:val="28"/>
              </w:rPr>
              <w:t xml:space="preserve">专栏五：产业培育七大工程</w:t>
            </w:r>
            <w:r>
              <w:rPr>
                <w:b/>
                <w:bCs/>
                <w:color w:val="000000"/>
              </w:rPr>
            </w:r>
            <w:r>
              <w:rPr>
                <w:b/>
                <w:bCs/>
                <w:color w:val="000000"/>
              </w:rPr>
            </w:r>
          </w:p>
        </w:tc>
      </w:tr>
      <w:tr>
        <w:trPr/>
        <w:tc>
          <w:tcPr>
            <w:tcBorders/>
            <w:tcW w:w="8834" w:type="dxa"/>
            <w:vAlign w:val="top"/>
            <w:textDirection w:val="lrTb"/>
            <w:noWrap w:val="false"/>
          </w:tcPr>
          <w:p>
            <w:pPr>
              <w:pStyle w:val="797"/>
              <w:pBdr/>
              <w:spacing/>
              <w:ind w:firstLine="482"/>
              <w:rPr>
                <w:rFonts w:cs="宋体"/>
                <w:color w:val="000000"/>
                <w:sz w:val="24"/>
                <w:szCs w:val="24"/>
              </w:rPr>
            </w:pPr>
            <w:r>
              <w:rPr>
                <w:rFonts w:hint="eastAsia" w:cs="宋体"/>
                <w:b/>
                <w:bCs/>
                <w:color w:val="000000"/>
                <w:sz w:val="24"/>
                <w:szCs w:val="24"/>
              </w:rPr>
              <w:t xml:space="preserve">企业培育工程。</w:t>
            </w:r>
            <w:r>
              <w:rPr>
                <w:rFonts w:hint="eastAsia" w:cs="宋体"/>
                <w:color w:val="000000"/>
                <w:sz w:val="24"/>
                <w:szCs w:val="24"/>
              </w:rPr>
              <w:t xml:space="preserve">培育形成齐星集团、程力集团、湖北楚胜、东风随专、华鑫冶金</w:t>
            </w:r>
            <w:r>
              <w:rPr>
                <w:rFonts w:cs="宋体"/>
                <w:color w:val="000000"/>
                <w:sz w:val="24"/>
                <w:szCs w:val="24"/>
              </w:rPr>
              <w:t xml:space="preserve">5家100亿企业，重汽华威、恒天新楚风、东风车轮、新兴全力、常森机械、新兴铸造</w:t>
            </w:r>
            <w:r>
              <w:rPr>
                <w:rFonts w:hint="eastAsia" w:cs="宋体"/>
                <w:color w:val="000000"/>
                <w:sz w:val="24"/>
                <w:szCs w:val="24"/>
              </w:rPr>
              <w:t xml:space="preserve">、广水</w:t>
            </w:r>
            <w:r>
              <w:rPr>
                <w:rFonts w:cs="宋体"/>
                <w:color w:val="000000"/>
                <w:sz w:val="24"/>
                <w:szCs w:val="24"/>
              </w:rPr>
              <w:t xml:space="preserve">新煌循环资源等</w:t>
            </w:r>
            <w:r>
              <w:rPr>
                <w:rFonts w:hint="eastAsia" w:cs="宋体"/>
                <w:color w:val="000000"/>
                <w:sz w:val="24"/>
                <w:szCs w:val="24"/>
                <w:lang w:val="en-US"/>
              </w:rPr>
              <w:t xml:space="preserve">7</w:t>
            </w:r>
            <w:r>
              <w:rPr>
                <w:rFonts w:cs="宋体"/>
                <w:color w:val="000000"/>
                <w:sz w:val="24"/>
                <w:szCs w:val="24"/>
              </w:rPr>
              <w:t xml:space="preserve">家30亿企业，湖北正大、品源现代、江南专汽、青岛啤酒（随州）、毅兴智能、中兴食品、</w:t>
            </w:r>
            <w:r>
              <w:rPr>
                <w:rFonts w:hint="eastAsia" w:cs="宋体"/>
                <w:color w:val="000000"/>
                <w:sz w:val="24"/>
                <w:szCs w:val="24"/>
              </w:rPr>
              <w:t xml:space="preserve">湖北现代农业、</w:t>
            </w:r>
            <w:r>
              <w:rPr>
                <w:rFonts w:cs="宋体"/>
                <w:color w:val="000000"/>
                <w:sz w:val="24"/>
                <w:szCs w:val="24"/>
              </w:rPr>
              <w:t xml:space="preserve">犇星新材料、金龙新材料、健民叶开泰、三峰透平等一批20亿企业</w:t>
            </w:r>
            <w:r>
              <w:rPr>
                <w:rFonts w:hint="eastAsia" w:cs="宋体"/>
                <w:color w:val="000000"/>
                <w:sz w:val="24"/>
                <w:szCs w:val="24"/>
              </w:rPr>
              <w:t xml:space="preserve">。</w:t>
            </w:r>
            <w:r>
              <w:rPr>
                <w:rFonts w:cs="宋体"/>
                <w:color w:val="000000"/>
                <w:sz w:val="24"/>
                <w:szCs w:val="24"/>
              </w:rPr>
            </w:r>
            <w:r>
              <w:rPr>
                <w:rFonts w:cs="宋体"/>
                <w:color w:val="000000"/>
                <w:sz w:val="24"/>
                <w:szCs w:val="24"/>
              </w:rPr>
            </w:r>
          </w:p>
          <w:p>
            <w:pPr>
              <w:pStyle w:val="797"/>
              <w:pBdr/>
              <w:spacing/>
              <w:ind w:firstLine="482"/>
              <w:rPr>
                <w:rFonts w:cs="宋体"/>
                <w:color w:val="000000"/>
                <w:sz w:val="24"/>
                <w:szCs w:val="24"/>
              </w:rPr>
            </w:pPr>
            <w:r>
              <w:rPr>
                <w:rFonts w:hint="eastAsia" w:cs="宋体"/>
                <w:b/>
                <w:bCs/>
                <w:color w:val="000000"/>
                <w:sz w:val="24"/>
                <w:szCs w:val="24"/>
              </w:rPr>
              <w:t xml:space="preserve">工业强基工程。</w:t>
            </w:r>
            <w:r>
              <w:rPr>
                <w:rFonts w:hint="eastAsia" w:cs="宋体"/>
                <w:color w:val="000000"/>
                <w:sz w:val="24"/>
                <w:szCs w:val="24"/>
              </w:rPr>
              <w:t xml:space="preserve">围绕产业发展方向，引导整机生产企业和核心基础零部件和元器件、先进基础工艺、关键基础材料、产业技术基础等</w:t>
            </w:r>
            <w:r>
              <w:rPr>
                <w:color w:val="000000"/>
                <w:sz w:val="24"/>
                <w:szCs w:val="24"/>
              </w:rPr>
              <w:t xml:space="preserve">“</w:t>
            </w:r>
            <w:r>
              <w:rPr>
                <w:rFonts w:hint="eastAsia" w:cs="宋体"/>
                <w:color w:val="000000"/>
                <w:sz w:val="24"/>
                <w:szCs w:val="24"/>
              </w:rPr>
              <w:t xml:space="preserve">四基</w:t>
            </w:r>
            <w:r>
              <w:rPr>
                <w:color w:val="000000"/>
                <w:sz w:val="24"/>
                <w:szCs w:val="24"/>
              </w:rPr>
              <w:t xml:space="preserve">”</w:t>
            </w:r>
            <w:r>
              <w:rPr>
                <w:rFonts w:hint="eastAsia" w:cs="宋体"/>
                <w:color w:val="000000"/>
                <w:sz w:val="24"/>
                <w:szCs w:val="24"/>
              </w:rPr>
              <w:t xml:space="preserve">生产企业</w:t>
            </w:r>
            <w:r>
              <w:rPr>
                <w:rFonts w:hint="eastAsia" w:cs="宋体"/>
                <w:color w:val="000000"/>
                <w:sz w:val="24"/>
                <w:szCs w:val="24"/>
                <w:lang w:eastAsia="zh-CN"/>
              </w:rPr>
              <w:t xml:space="preserve">及</w:t>
            </w:r>
            <w:r>
              <w:rPr>
                <w:rFonts w:hint="eastAsia" w:cs="宋体"/>
                <w:color w:val="000000"/>
                <w:sz w:val="24"/>
                <w:szCs w:val="24"/>
              </w:rPr>
              <w:t xml:space="preserve">高等院校、科研院所产需对接，建立产业联盟，形成协同创新、产用结合、以市场促基础产业发展的新模式，提升重大装备自主可控水平。开展工业强基示范应用，支持核心基础零部件（元器件）、先进基础工艺、关键基础材料、产业基础技术推广应用。加快工业云平台建设，整合行业资源，实现大数据互联互通共享。</w:t>
            </w:r>
            <w:r>
              <w:rPr>
                <w:rFonts w:cs="宋体"/>
                <w:color w:val="000000"/>
                <w:sz w:val="24"/>
                <w:szCs w:val="24"/>
              </w:rPr>
            </w:r>
            <w:r>
              <w:rPr>
                <w:rFonts w:cs="宋体"/>
                <w:color w:val="000000"/>
                <w:sz w:val="24"/>
                <w:szCs w:val="24"/>
              </w:rPr>
            </w:r>
          </w:p>
          <w:p>
            <w:pPr>
              <w:pStyle w:val="797"/>
              <w:pBdr/>
              <w:spacing/>
              <w:ind w:firstLine="482"/>
              <w:rPr>
                <w:color w:val="000000"/>
                <w:sz w:val="24"/>
                <w:szCs w:val="24"/>
              </w:rPr>
            </w:pPr>
            <w:r>
              <w:rPr>
                <w:rFonts w:hint="eastAsia" w:cs="宋体"/>
                <w:b/>
                <w:bCs/>
                <w:color w:val="000000"/>
                <w:sz w:val="24"/>
                <w:szCs w:val="24"/>
              </w:rPr>
              <w:t xml:space="preserve">技术改造工程。</w:t>
            </w:r>
            <w:r>
              <w:rPr>
                <w:rFonts w:hint="eastAsia" w:cs="宋体"/>
                <w:color w:val="000000"/>
                <w:sz w:val="24"/>
                <w:szCs w:val="24"/>
              </w:rPr>
              <w:t xml:space="preserve">围绕品种质量、两化融合、节能降耗、质量提升、安全生产等重点领域，引导企业科学合理做好工艺技术路线及</w:t>
            </w:r>
            <w:r>
              <w:rPr>
                <w:rFonts w:hint="eastAsia" w:cs="宋体"/>
                <w:color w:val="000000"/>
                <w:sz w:val="24"/>
                <w:szCs w:val="24"/>
              </w:rPr>
              <w:t xml:space="preserve">设备选型，完善技术改造扶持政策体系，全面提高产品技术、工艺装备、能效环保等水平。注重产业链上下游企业协同改造，全面提升产业链整体技术水平。全面推进传统产业绿色改造，大力研发推广余热余压回收、水循环利用等绿色工艺技术装备，加快应用清洁高效铸造、锻压等加工工艺，实现绿色生产。加强绿色产品研发应用，推广轻量化、低功耗、易回收等技术工艺。加快工业机器人、智能物流管理等技术和装备在生产过程中的应用，促进制造工艺的数字化控制、状态信息实时监测和自适应控制。加快产品全生命周期管理、供应链管理系统的推广应用，实现智能管控。</w:t>
            </w:r>
            <w:r>
              <w:rPr>
                <w:color w:val="000000"/>
                <w:sz w:val="24"/>
                <w:szCs w:val="24"/>
              </w:rPr>
            </w:r>
            <w:r>
              <w:rPr>
                <w:color w:val="000000"/>
                <w:sz w:val="24"/>
                <w:szCs w:val="24"/>
              </w:rPr>
            </w:r>
          </w:p>
          <w:p>
            <w:pPr>
              <w:pStyle w:val="797"/>
              <w:pBdr/>
              <w:spacing/>
              <w:ind w:firstLine="482"/>
              <w:rPr>
                <w:rFonts w:cs="宋体"/>
                <w:color w:val="000000"/>
                <w:sz w:val="24"/>
                <w:szCs w:val="24"/>
              </w:rPr>
            </w:pPr>
            <w:r>
              <w:rPr>
                <w:rFonts w:hint="eastAsia" w:cs="宋体"/>
                <w:b/>
                <w:bCs/>
                <w:color w:val="000000"/>
                <w:sz w:val="24"/>
                <w:szCs w:val="24"/>
              </w:rPr>
              <w:t xml:space="preserve">服务业提升工程。</w:t>
            </w:r>
            <w:r>
              <w:rPr>
                <w:rFonts w:hint="eastAsia"/>
                <w:color w:val="000000"/>
                <w:sz w:val="24"/>
                <w:szCs w:val="24"/>
              </w:rPr>
              <w:t xml:space="preserve">推动生产性服务业融合化发展，促进生产服务、流通服务等生产性服务业向专业化和价值链高端延伸；加快生活性服务业品质化发展，以高质量的服务供给催生创造新的服务需求。</w:t>
            </w:r>
            <w:r>
              <w:rPr>
                <w:rFonts w:hint="eastAsia" w:cs="宋体"/>
                <w:color w:val="000000"/>
                <w:sz w:val="24"/>
                <w:szCs w:val="24"/>
              </w:rPr>
              <w:t xml:space="preserve">实施服务业企业培育计划，围绕</w:t>
            </w:r>
            <w:bookmarkStart w:id="38" w:name="_Hlk59443604"/>
            <w:r>
              <w:rPr>
                <w:rFonts w:hint="eastAsia" w:cs="宋体"/>
                <w:color w:val="000000"/>
                <w:sz w:val="24"/>
                <w:szCs w:val="24"/>
              </w:rPr>
              <w:t xml:space="preserve">信息服务、金融服务、现代物流、科技服务、文化创意、商务服务、商贸流通、健康养老</w:t>
            </w:r>
            <w:bookmarkEnd w:id="38"/>
            <w:r>
              <w:rPr>
                <w:rFonts w:hint="eastAsia" w:cs="宋体"/>
                <w:color w:val="000000"/>
                <w:sz w:val="24"/>
                <w:szCs w:val="24"/>
              </w:rPr>
              <w:t xml:space="preserve">等重点领域，培育一批规模大、主营业务突出、核心竞争力强、带动作用明显、税收贡献大的重点企业，扶持一批发展速度快、创新能力强、商业模式新的成长型企业，实现</w:t>
            </w:r>
            <w:r>
              <w:rPr>
                <w:color w:val="000000"/>
                <w:sz w:val="24"/>
                <w:szCs w:val="24"/>
              </w:rPr>
              <w:t xml:space="preserve">“</w:t>
            </w:r>
            <w:r>
              <w:rPr>
                <w:rFonts w:hint="eastAsia" w:cs="宋体"/>
                <w:color w:val="000000"/>
                <w:sz w:val="24"/>
                <w:szCs w:val="24"/>
              </w:rPr>
              <w:t xml:space="preserve">规下</w:t>
            </w:r>
            <w:r>
              <w:rPr>
                <w:color w:val="000000"/>
                <w:sz w:val="24"/>
                <w:szCs w:val="24"/>
              </w:rPr>
              <w:t xml:space="preserve">”</w:t>
            </w:r>
            <w:r>
              <w:rPr>
                <w:rFonts w:hint="eastAsia" w:cs="宋体"/>
                <w:color w:val="000000"/>
                <w:sz w:val="24"/>
                <w:szCs w:val="24"/>
              </w:rPr>
              <w:t xml:space="preserve">服务业企业升</w:t>
            </w:r>
            <w:r>
              <w:rPr>
                <w:color w:val="000000"/>
                <w:sz w:val="24"/>
                <w:szCs w:val="24"/>
              </w:rPr>
              <w:t xml:space="preserve">“</w:t>
            </w:r>
            <w:r>
              <w:rPr>
                <w:rFonts w:hint="eastAsia" w:cs="宋体"/>
                <w:color w:val="000000"/>
                <w:sz w:val="24"/>
                <w:szCs w:val="24"/>
              </w:rPr>
              <w:t xml:space="preserve">规上</w:t>
            </w:r>
            <w:r>
              <w:rPr>
                <w:color w:val="000000"/>
                <w:sz w:val="24"/>
                <w:szCs w:val="24"/>
              </w:rPr>
              <w:t xml:space="preserve">”60</w:t>
            </w:r>
            <w:r>
              <w:rPr>
                <w:rFonts w:hint="eastAsia" w:cs="宋体"/>
                <w:color w:val="000000"/>
                <w:sz w:val="24"/>
                <w:szCs w:val="24"/>
              </w:rPr>
              <w:t xml:space="preserve">家，</w:t>
            </w:r>
            <w:r>
              <w:rPr>
                <w:color w:val="000000"/>
                <w:sz w:val="24"/>
                <w:szCs w:val="24"/>
              </w:rPr>
              <w:t xml:space="preserve">“</w:t>
            </w:r>
            <w:r>
              <w:rPr>
                <w:rFonts w:hint="eastAsia" w:cs="宋体"/>
                <w:color w:val="000000"/>
                <w:sz w:val="24"/>
                <w:szCs w:val="24"/>
              </w:rPr>
              <w:t xml:space="preserve">限下</w:t>
            </w:r>
            <w:r>
              <w:rPr>
                <w:color w:val="000000"/>
                <w:sz w:val="24"/>
                <w:szCs w:val="24"/>
              </w:rPr>
              <w:t xml:space="preserve">”</w:t>
            </w:r>
            <w:r>
              <w:rPr>
                <w:rFonts w:hint="eastAsia" w:cs="宋体"/>
                <w:color w:val="000000"/>
                <w:sz w:val="24"/>
                <w:szCs w:val="24"/>
              </w:rPr>
              <w:t xml:space="preserve">批零住餐小微企业升</w:t>
            </w:r>
            <w:r>
              <w:rPr>
                <w:color w:val="000000"/>
                <w:sz w:val="24"/>
                <w:szCs w:val="24"/>
              </w:rPr>
              <w:t xml:space="preserve">“</w:t>
            </w:r>
            <w:r>
              <w:rPr>
                <w:rFonts w:hint="eastAsia" w:cs="宋体"/>
                <w:color w:val="000000"/>
                <w:sz w:val="24"/>
                <w:szCs w:val="24"/>
              </w:rPr>
              <w:t xml:space="preserve">限上</w:t>
            </w:r>
            <w:r>
              <w:rPr>
                <w:color w:val="000000"/>
                <w:sz w:val="24"/>
                <w:szCs w:val="24"/>
              </w:rPr>
              <w:t xml:space="preserve">”100</w:t>
            </w:r>
            <w:r>
              <w:rPr>
                <w:rFonts w:hint="eastAsia" w:cs="宋体"/>
                <w:color w:val="000000"/>
                <w:sz w:val="24"/>
                <w:szCs w:val="24"/>
              </w:rPr>
              <w:t xml:space="preserve">家。树立现代服务业与先进制造业融合发展理念，推动服务业制造化和制造业服务化，以服务业供给侧改革与制造业投入产出优化为双轮驱动，以服务价值支撑随州制造业高端攀升，以先进制造业带动随州服务能力提升。支持服务业多业态融合发展，支持服务业企业扩展经营领域，鼓励发展特色电子商务平台、创意设计、文化旅游、健康文化等新产业。推动工业园区或开发区向“服务</w:t>
            </w:r>
            <w:r>
              <w:rPr>
                <w:rFonts w:cs="宋体"/>
                <w:color w:val="000000"/>
                <w:sz w:val="24"/>
                <w:szCs w:val="24"/>
              </w:rPr>
              <w:t xml:space="preserve">+制造”综合园区转型升级，围绕制造业集群发展金融、租赁、信息咨询、物流等相关服务业体系，以形成产业共融、市场共享、资源共用的互动发展格局。</w:t>
            </w:r>
            <w:r>
              <w:rPr>
                <w:rFonts w:hint="eastAsia" w:cs="宋体"/>
                <w:color w:val="000000"/>
                <w:sz w:val="24"/>
                <w:szCs w:val="24"/>
              </w:rPr>
              <w:t xml:space="preserve">实施服务业高质量发展计划，在发展环境、财税支持、融资渠道、人才引留、市场开拓、品牌建设等方面给予大力支持。</w:t>
            </w:r>
            <w:r>
              <w:rPr>
                <w:rFonts w:cs="宋体"/>
                <w:color w:val="000000"/>
                <w:sz w:val="24"/>
                <w:szCs w:val="24"/>
              </w:rPr>
            </w:r>
            <w:r>
              <w:rPr>
                <w:rFonts w:cs="宋体"/>
                <w:color w:val="000000"/>
                <w:sz w:val="24"/>
                <w:szCs w:val="24"/>
              </w:rPr>
            </w:r>
          </w:p>
          <w:p>
            <w:pPr>
              <w:pStyle w:val="797"/>
              <w:pBdr/>
              <w:spacing/>
              <w:ind w:firstLine="482"/>
              <w:rPr>
                <w:rFonts w:cs="宋体"/>
                <w:color w:val="000000"/>
                <w:sz w:val="24"/>
                <w:szCs w:val="24"/>
              </w:rPr>
            </w:pPr>
            <w:r>
              <w:rPr>
                <w:rFonts w:hint="eastAsia" w:cs="宋体"/>
                <w:b/>
                <w:bCs/>
                <w:color w:val="000000"/>
                <w:sz w:val="24"/>
                <w:szCs w:val="24"/>
              </w:rPr>
              <w:t xml:space="preserve">园区提质工程。</w:t>
            </w:r>
            <w:r>
              <w:rPr>
                <w:rFonts w:hint="eastAsia" w:cs="宋体"/>
                <w:color w:val="000000"/>
                <w:sz w:val="24"/>
                <w:szCs w:val="24"/>
              </w:rPr>
              <w:t xml:space="preserve">加快完善园区基础设施建设，引导园区培育壮大优势明显、竞争力较强、产业链完整的主导产业，加快形成共生互补、分工协调、错位竞争的产业生态体系。统筹推进随州高新区“一区四园”产业布局，将随州高新区打造成产业新城主引擎，随县产业园区打造农产品生产加工核心区，广水产业园区打造风机制造核心区，曾都产业园区打造应急产业核心区。</w:t>
            </w:r>
            <w:r>
              <w:rPr>
                <w:rFonts w:cs="宋体"/>
                <w:color w:val="000000"/>
                <w:sz w:val="24"/>
                <w:szCs w:val="24"/>
              </w:rPr>
            </w:r>
            <w:r>
              <w:rPr>
                <w:rFonts w:cs="宋体"/>
                <w:color w:val="000000"/>
                <w:sz w:val="24"/>
                <w:szCs w:val="24"/>
              </w:rPr>
            </w:r>
          </w:p>
          <w:p>
            <w:pPr>
              <w:pStyle w:val="797"/>
              <w:pBdr/>
              <w:spacing/>
              <w:ind w:firstLine="482"/>
              <w:rPr>
                <w:rFonts w:cs="宋体"/>
                <w:b/>
                <w:bCs/>
                <w:color w:val="000000"/>
                <w:sz w:val="24"/>
                <w:szCs w:val="24"/>
              </w:rPr>
            </w:pPr>
            <w:r>
              <w:rPr>
                <w:rFonts w:hint="eastAsia" w:cs="宋体"/>
                <w:b/>
                <w:bCs/>
                <w:color w:val="000000"/>
                <w:sz w:val="24"/>
                <w:szCs w:val="24"/>
              </w:rPr>
              <w:t xml:space="preserve">质量品牌工程。</w:t>
            </w:r>
            <w:r>
              <w:rPr>
                <w:rFonts w:hint="eastAsia" w:cs="宋体"/>
                <w:color w:val="000000"/>
                <w:sz w:val="24"/>
                <w:szCs w:val="24"/>
              </w:rPr>
              <w:t xml:space="preserve">普及精益生产、质量持续改进等先进生产管理模式和方法，推广先进加工及成型、在线检测等设备，完善质量监管体系。引导企业制定品牌管理体系，建设品牌文化，增强品牌意识，提升品牌附加值和软实力。充分发挥各类媒体作用，加大本地品牌宣传推广力度，加速本地品牌价值评价国际化进程。大力实施质量强市战略和标准化战略，引导企业（组织）主持或参与国家（行业）标准制</w:t>
            </w:r>
            <w:r>
              <w:rPr>
                <w:rFonts w:hint="eastAsia" w:cs="宋体"/>
                <w:color w:val="000000"/>
                <w:sz w:val="24"/>
                <w:szCs w:val="24"/>
                <w:lang w:eastAsia="zh-CN"/>
              </w:rPr>
              <w:t xml:space="preserve">订</w:t>
            </w:r>
            <w:r>
              <w:rPr>
                <w:rFonts w:hint="eastAsia" w:cs="宋体"/>
                <w:color w:val="000000"/>
                <w:sz w:val="24"/>
                <w:szCs w:val="24"/>
              </w:rPr>
              <w:t xml:space="preserve">修订，提高标准话语权；鼓励企业在工业、农业服务、社会管理和公共服务领域开展标准化示范项目建设。</w:t>
            </w:r>
            <w:r>
              <w:rPr>
                <w:rFonts w:cs="宋体"/>
                <w:b/>
                <w:bCs/>
                <w:color w:val="000000"/>
                <w:sz w:val="24"/>
                <w:szCs w:val="24"/>
              </w:rPr>
            </w:r>
            <w:r>
              <w:rPr>
                <w:rFonts w:cs="宋体"/>
                <w:b/>
                <w:bCs/>
                <w:color w:val="000000"/>
                <w:sz w:val="24"/>
                <w:szCs w:val="24"/>
              </w:rPr>
            </w:r>
          </w:p>
          <w:p>
            <w:pPr>
              <w:pStyle w:val="797"/>
              <w:pBdr/>
              <w:spacing/>
              <w:ind w:firstLine="482"/>
              <w:rPr>
                <w:rFonts w:hint="eastAsia" w:eastAsia="宋体" w:cs="宋体"/>
                <w:color w:val="000000"/>
              </w:rPr>
            </w:pPr>
            <w:r>
              <w:rPr>
                <w:rFonts w:hint="eastAsia" w:cs="宋体"/>
                <w:b/>
                <w:bCs/>
                <w:color w:val="000000"/>
                <w:sz w:val="24"/>
                <w:szCs w:val="24"/>
              </w:rPr>
              <w:t xml:space="preserve">军民融合工程。</w:t>
            </w:r>
            <w:r>
              <w:rPr>
                <w:rFonts w:hint="eastAsia" w:cs="宋体"/>
                <w:color w:val="000000"/>
                <w:sz w:val="24"/>
                <w:szCs w:val="24"/>
              </w:rPr>
              <w:t xml:space="preserve">深化军民科技、产品、市场融合，引进航天</w:t>
            </w:r>
            <w:r>
              <w:rPr>
                <w:rFonts w:hint="eastAsia" w:cs="宋体"/>
                <w:color w:val="000000"/>
                <w:sz w:val="24"/>
                <w:szCs w:val="24"/>
                <w:lang w:eastAsia="zh-CN"/>
              </w:rPr>
              <w:t xml:space="preserve">科技集团</w:t>
            </w:r>
            <w:r>
              <w:rPr>
                <w:rFonts w:hint="eastAsia" w:cs="宋体"/>
                <w:color w:val="000000"/>
                <w:sz w:val="24"/>
                <w:szCs w:val="24"/>
              </w:rPr>
              <w:t xml:space="preserve">、兵器集团、中航工业集团、山东军地集团等优势资源，深入开展军民科技融合创新行动，积极创建军民科技融合创新示范基地和军民两用技术创新平台。以齐星</w:t>
            </w:r>
            <w:r>
              <w:rPr>
                <w:rFonts w:hint="eastAsia" w:cs="宋体"/>
                <w:color w:val="000000"/>
                <w:sz w:val="24"/>
                <w:szCs w:val="24"/>
              </w:rPr>
              <w:t xml:space="preserve">车身、中航奥龙、程力专汽、泰晶科技等军品资质企业为依托，规划建设军民融合产业园，加快研发军用专用车。推动导航、智能装备、高端风机制造、纳米新材料等领域军民融合发展，支持广水市创建湖北省军民融合示范区。围绕战略性新兴产业发展，选择策划一批重点项目推动军民融合，培育军民融合增长点。整合军地双方科技资源，建设、提升一批科研、设计、测试共享平台。构建军民两用技术双向转移平台，促进企业融合发展。完善军民融合科技金融服务体系，引导社会资本参与军民融合的创业投资及产业化项目，通过参股、并购等方式支持军民两用技术成果转化。</w:t>
            </w:r>
            <w:r>
              <w:rPr>
                <w:rFonts w:hint="eastAsia" w:eastAsia="宋体" w:cs="宋体"/>
                <w:color w:val="000000"/>
              </w:rPr>
            </w:r>
            <w:r>
              <w:rPr>
                <w:rFonts w:hint="eastAsia" w:eastAsia="宋体" w:cs="宋体"/>
                <w:color w:val="000000"/>
              </w:rPr>
            </w:r>
          </w:p>
        </w:tc>
      </w:tr>
    </w:tbl>
    <w:p>
      <w:pPr>
        <w:pStyle w:val="737"/>
        <w:pBdr/>
        <w:spacing/>
        <w:ind w:firstLine="640"/>
        <w:rPr>
          <w:rFonts w:hint="eastAsia"/>
          <w:color w:val="000000"/>
        </w:rPr>
      </w:pPr>
      <w:r>
        <w:rPr>
          <w:rFonts w:hint="eastAsia"/>
          <w:color w:val="000000"/>
        </w:rPr>
      </w:r>
      <w:r>
        <w:rPr>
          <w:rFonts w:hint="eastAsia"/>
          <w:color w:val="000000"/>
        </w:rPr>
      </w:r>
    </w:p>
    <w:p>
      <w:pPr>
        <w:pStyle w:val="737"/>
        <w:pBdr/>
        <w:spacing/>
        <w:ind w:firstLine="640"/>
        <w:rPr>
          <w:rFonts w:hint="eastAsia"/>
          <w:color w:val="000000"/>
        </w:rPr>
      </w:pPr>
      <w:r>
        <w:rPr>
          <w:rFonts w:hint="eastAsia"/>
          <w:color w:val="000000"/>
        </w:rPr>
      </w:r>
      <w:r>
        <w:rPr>
          <w:rFonts w:hint="eastAsia"/>
          <w:color w:val="000000"/>
        </w:rPr>
      </w:r>
    </w:p>
    <w:p>
      <w:pPr>
        <w:pStyle w:val="738"/>
        <w:pBdr/>
        <w:spacing/>
        <w:ind/>
        <w:rPr>
          <w:rFonts w:hint="eastAsia" w:eastAsia="方正小标宋简体" w:cs="方正小标宋简体"/>
          <w:b w:val="0"/>
          <w:bCs w:val="0"/>
          <w:color w:val="000000"/>
          <w:sz w:val="36"/>
          <w:szCs w:val="36"/>
        </w:rPr>
      </w:pPr>
      <w:r/>
      <w:bookmarkStart w:id="39" w:name="_Toc30662"/>
      <w:r>
        <w:rPr>
          <w:rFonts w:hint="eastAsia" w:eastAsia="方正小标宋简体" w:cs="方正小标宋简体"/>
          <w:b w:val="0"/>
          <w:bCs w:val="0"/>
          <w:color w:val="000000"/>
          <w:sz w:val="36"/>
          <w:szCs w:val="36"/>
        </w:rPr>
      </w:r>
      <w:r>
        <w:rPr>
          <w:rFonts w:hint="eastAsia" w:eastAsia="方正小标宋简体" w:cs="方正小标宋简体"/>
          <w:b w:val="0"/>
          <w:bCs w:val="0"/>
          <w:color w:val="000000"/>
          <w:sz w:val="36"/>
          <w:szCs w:val="36"/>
        </w:rPr>
      </w:r>
    </w:p>
    <w:p>
      <w:pPr>
        <w:pStyle w:val="738"/>
        <w:pBdr/>
        <w:spacing/>
        <w:ind/>
        <w:rPr>
          <w:rFonts w:hint="eastAsia" w:eastAsia="方正小标宋简体" w:cs="方正小标宋简体"/>
          <w:b w:val="0"/>
          <w:bCs w:val="0"/>
          <w:color w:val="000000"/>
          <w:sz w:val="36"/>
          <w:szCs w:val="36"/>
        </w:rPr>
      </w:pPr>
      <w:r>
        <w:rPr>
          <w:rFonts w:hint="eastAsia" w:eastAsia="方正小标宋简体" w:cs="方正小标宋简体"/>
          <w:b w:val="0"/>
          <w:bCs w:val="0"/>
          <w:color w:val="000000"/>
          <w:sz w:val="36"/>
          <w:szCs w:val="36"/>
        </w:rPr>
      </w:r>
      <w:r>
        <w:rPr>
          <w:rFonts w:hint="eastAsia" w:eastAsia="方正小标宋简体" w:cs="方正小标宋简体"/>
          <w:b w:val="0"/>
          <w:bCs w:val="0"/>
          <w:color w:val="000000"/>
          <w:sz w:val="36"/>
          <w:szCs w:val="36"/>
        </w:rPr>
      </w:r>
    </w:p>
    <w:p>
      <w:pPr>
        <w:pStyle w:val="738"/>
        <w:pBdr/>
        <w:spacing/>
        <w:ind/>
        <w:rPr>
          <w:rFonts w:hint="eastAsia" w:eastAsia="方正小标宋简体"/>
          <w:b w:val="0"/>
          <w:bCs w:val="0"/>
          <w:color w:val="000000"/>
          <w:sz w:val="36"/>
          <w:szCs w:val="36"/>
        </w:rPr>
      </w:pPr>
      <w:r>
        <w:rPr>
          <w:rFonts w:hint="eastAsia" w:eastAsia="方正小标宋简体" w:cs="方正小标宋简体"/>
          <w:b w:val="0"/>
          <w:bCs w:val="0"/>
          <w:color w:val="000000"/>
          <w:sz w:val="36"/>
          <w:szCs w:val="36"/>
        </w:rPr>
        <w:t xml:space="preserve">第四章</w:t>
      </w:r>
      <w:r>
        <w:rPr>
          <w:rFonts w:eastAsia="方正小标宋简体"/>
          <w:b w:val="0"/>
          <w:bCs w:val="0"/>
          <w:color w:val="000000"/>
          <w:sz w:val="36"/>
          <w:szCs w:val="36"/>
        </w:rPr>
        <w:t xml:space="preserve"> </w:t>
      </w:r>
      <w:r>
        <w:rPr>
          <w:rFonts w:hint="eastAsia" w:eastAsia="方正小标宋简体" w:cs="方正小标宋简体"/>
          <w:b w:val="0"/>
          <w:bCs w:val="0"/>
          <w:color w:val="000000"/>
          <w:sz w:val="36"/>
          <w:szCs w:val="36"/>
        </w:rPr>
        <w:t xml:space="preserve">积极融入新发展格局</w:t>
      </w:r>
      <w:r>
        <w:rPr>
          <w:rFonts w:hint="eastAsia" w:eastAsia="方正小标宋简体" w:cs="方正小标宋简体"/>
          <w:b w:val="0"/>
          <w:bCs w:val="0"/>
          <w:color w:val="000000"/>
          <w:sz w:val="36"/>
          <w:szCs w:val="36"/>
          <w:lang w:val="en-US"/>
        </w:rPr>
        <w:t xml:space="preserve"> </w:t>
      </w:r>
      <w:r>
        <w:rPr>
          <w:rFonts w:hint="eastAsia" w:eastAsia="方正小标宋简体" w:cs="方正小标宋简体"/>
          <w:b w:val="0"/>
          <w:bCs w:val="0"/>
          <w:color w:val="000000"/>
          <w:sz w:val="36"/>
          <w:szCs w:val="36"/>
        </w:rPr>
        <w:t xml:space="preserve">提升开放型经济水平</w:t>
      </w:r>
      <w:bookmarkEnd w:id="39"/>
      <w:r>
        <w:rPr>
          <w:rFonts w:hint="eastAsia" w:eastAsia="方正小标宋简体"/>
          <w:b w:val="0"/>
          <w:bCs w:val="0"/>
          <w:color w:val="000000"/>
          <w:sz w:val="36"/>
          <w:szCs w:val="36"/>
        </w:rPr>
      </w:r>
      <w:r>
        <w:rPr>
          <w:rFonts w:hint="eastAsia" w:eastAsia="方正小标宋简体"/>
          <w:b w:val="0"/>
          <w:bCs w:val="0"/>
          <w:color w:val="000000"/>
          <w:sz w:val="36"/>
          <w:szCs w:val="36"/>
        </w:rPr>
      </w:r>
    </w:p>
    <w:p>
      <w:pPr>
        <w:pStyle w:val="737"/>
        <w:pBdr/>
        <w:spacing/>
        <w:ind w:firstLine="640"/>
        <w:rPr>
          <w:color w:val="000000"/>
        </w:rPr>
      </w:pPr>
      <w:r>
        <w:rPr>
          <w:color w:val="000000"/>
        </w:rPr>
      </w:r>
      <w:r>
        <w:rPr>
          <w:color w:val="000000"/>
        </w:rPr>
      </w:r>
    </w:p>
    <w:p>
      <w:pPr>
        <w:pStyle w:val="737"/>
        <w:pBdr/>
        <w:spacing/>
        <w:ind w:firstLine="640"/>
        <w:rPr>
          <w:rFonts w:hint="eastAsia" w:hAnsi="仿宋" w:cs="仿宋"/>
          <w:color w:val="000000"/>
        </w:rPr>
      </w:pPr>
      <w:r>
        <w:rPr>
          <w:rFonts w:hint="eastAsia" w:hAnsi="仿宋" w:cs="仿宋"/>
          <w:color w:val="000000"/>
        </w:rPr>
        <w:t xml:space="preserve">坚持实施扩大内需战略同深化供给侧结构性改革有机结合，坚持扩大内需与稳定外需并重、扩大消费与优化投资并行，持续提升要素集聚、协同、联动能力，推动形成全方位全要素、高能级高效率的双循环，在</w:t>
      </w:r>
      <w:r>
        <w:rPr>
          <w:rFonts w:hint="eastAsia" w:hAnsi="仿宋" w:cs="仿宋"/>
          <w:color w:val="000000"/>
          <w:lang w:val="en-US"/>
        </w:rPr>
        <w:t xml:space="preserve">积极融入</w:t>
      </w:r>
      <w:r>
        <w:rPr>
          <w:rFonts w:hint="eastAsia" w:hAnsi="仿宋" w:cs="仿宋"/>
          <w:color w:val="000000"/>
        </w:rPr>
        <w:t xml:space="preserve">新发展格局中展现新作为。</w:t>
      </w:r>
      <w:r>
        <w:rPr>
          <w:rFonts w:hint="eastAsia" w:hAnsi="仿宋" w:cs="仿宋"/>
          <w:color w:val="000000"/>
        </w:rPr>
      </w:r>
      <w:r>
        <w:rPr>
          <w:rFonts w:hint="eastAsia" w:hAnsi="仿宋" w:cs="仿宋"/>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bookmarkStart w:id="40" w:name="_Toc25830"/>
      <w:r>
        <w:rPr>
          <w:rFonts w:hint="eastAsia" w:ascii="黑体" w:hAnsi="黑体" w:eastAsia="黑体" w:cs="黑体"/>
          <w:b w:val="0"/>
          <w:bCs w:val="0"/>
          <w:color w:val="000000"/>
        </w:rPr>
        <w:t xml:space="preserve">一、促进高水平的供需动态平衡</w:t>
      </w:r>
      <w:bookmarkEnd w:id="40"/>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持续推进供给侧结构性改革</w:t>
      </w:r>
      <w:r>
        <w:rPr>
          <w:rFonts w:hint="eastAsia" w:cs="仿宋_GB2312"/>
          <w:b/>
          <w:bCs/>
          <w:color w:val="000000"/>
        </w:rPr>
        <w:t xml:space="preserve">。</w:t>
      </w:r>
      <w:r>
        <w:rPr>
          <w:rFonts w:hint="eastAsia" w:cs="仿宋_GB2312"/>
          <w:color w:val="000000"/>
        </w:rPr>
        <w:t xml:space="preserve">加大结构性改革力度，提高供给结构的适应性和灵活性，提高全要素生产率，为经济发展注入新动力。积极稳妥化解无效低效产能，按照企业主体、政府推动、市场引导、依法处置的办法，因地制宜、分类有序淘汰落后产能，妥善处置</w:t>
      </w:r>
      <w:r>
        <w:rPr>
          <w:color w:val="000000"/>
        </w:rPr>
        <w:t xml:space="preserve">“</w:t>
      </w:r>
      <w:r>
        <w:rPr>
          <w:rFonts w:hint="eastAsia" w:cs="仿宋_GB2312"/>
          <w:color w:val="000000"/>
        </w:rPr>
        <w:t xml:space="preserve">僵尸企业</w:t>
      </w:r>
      <w:r>
        <w:rPr>
          <w:color w:val="000000"/>
        </w:rPr>
        <w:t xml:space="preserve">”</w:t>
      </w:r>
      <w:r>
        <w:rPr>
          <w:rFonts w:hint="eastAsia" w:cs="仿宋_GB2312"/>
          <w:color w:val="000000"/>
        </w:rPr>
        <w:t xml:space="preserve">和空壳公司，推动厂房、土地等各类闲置资产从供给老化产业向新兴产业转移。加快培育发展新动能和竞争新优势，提高全要素生产率，加快建设统一开放、竞争有序的现代市场体系。</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稳定产业链供应链</w:t>
      </w:r>
      <w:r>
        <w:rPr>
          <w:rStyle w:val="778"/>
          <w:rFonts w:hint="eastAsia" w:cs="仿宋_GB2312"/>
          <w:b/>
          <w:bCs/>
          <w:color w:val="000000"/>
          <w:u w:val="none"/>
        </w:rPr>
        <w:t xml:space="preserve">。</w:t>
      </w:r>
      <w:r>
        <w:rPr>
          <w:rFonts w:hint="eastAsia" w:cs="仿宋_GB2312"/>
          <w:color w:val="000000"/>
        </w:rPr>
        <w:t xml:space="preserve">以强大的国内市场为根本立足点，把握国家全面推进</w:t>
      </w:r>
      <w:r>
        <w:rPr>
          <w:color w:val="000000"/>
        </w:rPr>
        <w:t xml:space="preserve">“</w:t>
      </w:r>
      <w:r>
        <w:rPr>
          <w:rFonts w:hint="eastAsia" w:cs="仿宋_GB2312"/>
          <w:color w:val="000000"/>
        </w:rPr>
        <w:t xml:space="preserve">两新一重</w:t>
      </w:r>
      <w:r>
        <w:rPr>
          <w:color w:val="000000"/>
        </w:rPr>
        <w:t xml:space="preserve">”</w:t>
      </w:r>
      <w:r>
        <w:rPr>
          <w:rFonts w:hint="eastAsia" w:cs="仿宋_GB2312"/>
          <w:color w:val="000000"/>
        </w:rPr>
        <w:t xml:space="preserve">机遇，与稳投资相结合，通过创新招商引资方式稳链强链补链，不断提升随州产业基础高级化、产业链现代化水平，为产业链供应链稳定提供</w:t>
      </w:r>
      <w:r>
        <w:rPr>
          <w:color w:val="000000"/>
        </w:rPr>
        <w:t xml:space="preserve">“</w:t>
      </w:r>
      <w:r>
        <w:rPr>
          <w:rFonts w:hint="eastAsia" w:cs="仿宋_GB2312"/>
          <w:color w:val="000000"/>
        </w:rPr>
        <w:t xml:space="preserve">压舱石</w:t>
      </w:r>
      <w:r>
        <w:rPr>
          <w:color w:val="000000"/>
        </w:rPr>
        <w:t xml:space="preserve">”</w:t>
      </w:r>
      <w:r>
        <w:rPr>
          <w:rFonts w:hint="eastAsia" w:cs="仿宋_GB2312"/>
          <w:color w:val="000000"/>
        </w:rPr>
        <w:t xml:space="preserve">。持续推进产业项目建设，不断以优质增量项目提升产业链供应链水平，加快传统产业改造，推动产业园区高质量发展，促进产业链供应链高质量发展。加强联合攻关，强化关键环节、关键领域、关键产品保障能力，努力提升产业自主可控水平，着力补齐产业链供应链短板，全力保障产业链供应链市场循环。将产业链供应链稳定与稳外资、稳外贸结合起来，充分利用</w:t>
      </w:r>
      <w:r>
        <w:rPr>
          <w:color w:val="000000"/>
        </w:rPr>
        <w:t xml:space="preserve">“</w:t>
      </w:r>
      <w:r>
        <w:rPr>
          <w:rFonts w:hint="eastAsia" w:cs="仿宋_GB2312"/>
          <w:color w:val="000000"/>
        </w:rPr>
        <w:t xml:space="preserve">两个市场</w:t>
      </w:r>
      <w:r>
        <w:rPr>
          <w:color w:val="000000"/>
        </w:rPr>
        <w:t xml:space="preserve">”“</w:t>
      </w:r>
      <w:r>
        <w:rPr>
          <w:rFonts w:hint="eastAsia" w:cs="仿宋_GB2312"/>
          <w:color w:val="000000"/>
        </w:rPr>
        <w:t xml:space="preserve">两种资源</w:t>
      </w:r>
      <w:r>
        <w:rPr>
          <w:color w:val="000000"/>
        </w:rPr>
        <w:t xml:space="preserve">”</w:t>
      </w:r>
      <w:r>
        <w:rPr>
          <w:rFonts w:hint="eastAsia" w:cs="仿宋_GB2312"/>
          <w:color w:val="000000"/>
        </w:rPr>
        <w:t xml:space="preserve">，努力融入国内国际双循环相互促进的新格局，构建产业链供应链良好发展生态。</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促进消费扩容提质</w:t>
      </w:r>
      <w:r>
        <w:rPr>
          <w:rStyle w:val="778"/>
          <w:rFonts w:hint="eastAsia" w:cs="仿宋_GB2312"/>
          <w:b/>
          <w:bCs/>
          <w:color w:val="000000"/>
          <w:u w:val="none"/>
        </w:rPr>
        <w:t xml:space="preserve">。</w:t>
      </w:r>
      <w:r>
        <w:rPr>
          <w:rFonts w:hint="eastAsia" w:cs="仿宋_GB2312"/>
          <w:color w:val="000000"/>
        </w:rPr>
        <w:t xml:space="preserve">增强消费对经济发展的基础性作用，以质量品牌为重点，促进消费向绿色、健康、安全发展，推动产业和消费“双升级”。优化城乡商业设施布局，城镇地区建设一批商圈、步行街、农贸市场、社区便利店等商业载体，农村地区加快完善农村集市、农村超市等业态布局，形成满足多层次消费体系。推进线上线下消费有机结合，引导制造业企业与供应商、采购商实现网络对接，引导商贸流通企业实现采购、生产、销售全流程电子商务，发展</w:t>
      </w:r>
      <w:r>
        <w:rPr>
          <w:color w:val="000000"/>
        </w:rPr>
        <w:t xml:space="preserve">“</w:t>
      </w:r>
      <w:r>
        <w:rPr>
          <w:rFonts w:hint="eastAsia" w:cs="仿宋_GB2312"/>
          <w:color w:val="000000"/>
        </w:rPr>
        <w:t xml:space="preserve">线上营销、线下成交</w:t>
      </w:r>
      <w:r>
        <w:rPr>
          <w:color w:val="000000"/>
        </w:rPr>
        <w:t xml:space="preserve">”“</w:t>
      </w:r>
      <w:r>
        <w:rPr>
          <w:rFonts w:hint="eastAsia" w:cs="仿宋_GB2312"/>
          <w:color w:val="000000"/>
        </w:rPr>
        <w:t xml:space="preserve">线下体验、线上交易</w:t>
      </w:r>
      <w:r>
        <w:rPr>
          <w:color w:val="000000"/>
        </w:rPr>
        <w:t xml:space="preserve">”</w:t>
      </w:r>
      <w:r>
        <w:rPr>
          <w:rFonts w:hint="eastAsia" w:cs="仿宋_GB2312"/>
          <w:color w:val="000000"/>
        </w:rPr>
        <w:t xml:space="preserve">业务。大力发展</w:t>
      </w:r>
      <w:r>
        <w:rPr>
          <w:color w:val="000000"/>
        </w:rPr>
        <w:t xml:space="preserve">“</w:t>
      </w:r>
      <w:r>
        <w:rPr>
          <w:rFonts w:hint="eastAsia" w:cs="仿宋_GB2312"/>
          <w:color w:val="000000"/>
        </w:rPr>
        <w:t xml:space="preserve">夜间经济</w:t>
      </w:r>
      <w:r>
        <w:rPr>
          <w:color w:val="000000"/>
        </w:rPr>
        <w:t xml:space="preserve">”</w:t>
      </w:r>
      <w:r>
        <w:rPr>
          <w:rFonts w:hint="eastAsia" w:cs="仿宋_GB2312"/>
          <w:color w:val="000000"/>
        </w:rPr>
        <w:t xml:space="preserve">和“后备箱”经济，繁荣丰富</w:t>
      </w:r>
      <w:r>
        <w:rPr>
          <w:color w:val="000000"/>
        </w:rPr>
        <w:t xml:space="preserve">“</w:t>
      </w:r>
      <w:r>
        <w:rPr>
          <w:rFonts w:hint="eastAsia" w:cs="仿宋_GB2312"/>
          <w:color w:val="000000"/>
        </w:rPr>
        <w:t xml:space="preserve">夜游、夜娱、夜食、夜购</w:t>
      </w:r>
      <w:r>
        <w:rPr>
          <w:color w:val="000000"/>
        </w:rPr>
        <w:t xml:space="preserve">”</w:t>
      </w:r>
      <w:r>
        <w:rPr>
          <w:rFonts w:hint="eastAsia" w:cs="仿宋_GB2312"/>
          <w:color w:val="000000"/>
        </w:rPr>
        <w:t xml:space="preserve">等消费业态，充分释放夜市消费潜力。依托举办各类节庆活动，以万达、大润发、吾悦广场、解放</w:t>
      </w:r>
      <w:r>
        <w:rPr>
          <w:rFonts w:hint="eastAsia" w:cs="仿宋_GB2312"/>
          <w:color w:val="000000"/>
        </w:rPr>
        <w:t xml:space="preserve">路等商圈为载体，推动旅游服务向休闲、度假、购物等转变，鼓励特色休闲业态开发和创新，不断提升市民生活品质。支持居民改善型消费需求，稳定和扩大汽车消费，促进住房消费健康发展。扩大农村消费市场，加快电商向农村延伸覆盖，引导农村消费升级，激发农村消费潜力。升级服务消费，推进生活性服务业向高品质和多样化升级，把教育、医疗、养老、文化、体育、托育等服务作为扩大消费的重点领域，发展医疗康养、文化体育、家政服务等产业。全面优化消费环境，加强消费领域信用体系建设，强化市场秩序监管和消费者权益保护，引导督促经营者诚信守法经营。</w:t>
      </w:r>
      <w:r>
        <w:rPr>
          <w:color w:val="000000"/>
        </w:rPr>
      </w:r>
      <w:r>
        <w:rPr>
          <w:color w:val="000000"/>
        </w:rPr>
      </w:r>
    </w:p>
    <w:p>
      <w:pPr>
        <w:pStyle w:val="737"/>
        <w:pBdr/>
        <w:spacing/>
        <w:ind w:firstLine="643"/>
        <w:rPr>
          <w:rFonts w:hint="eastAsia" w:hAnsi="仿宋" w:cs="仿宋"/>
          <w:color w:val="000000"/>
        </w:rPr>
      </w:pPr>
      <w:r>
        <w:rPr>
          <w:rFonts w:hint="eastAsia" w:ascii="楷体_GB2312" w:hAnsi="楷体_GB2312" w:eastAsia="楷体_GB2312" w:cs="楷体_GB2312"/>
          <w:b/>
          <w:bCs/>
          <w:color w:val="000000"/>
        </w:rPr>
        <w:t xml:space="preserve">积极扩大有效投资</w:t>
      </w:r>
      <w:r>
        <w:rPr>
          <w:rFonts w:hint="eastAsia" w:hAnsi="仿宋" w:cs="仿宋"/>
          <w:b/>
          <w:bCs/>
          <w:color w:val="000000"/>
        </w:rPr>
        <w:t xml:space="preserve">。</w:t>
      </w:r>
      <w:r>
        <w:rPr>
          <w:rFonts w:hint="eastAsia" w:hAnsi="仿宋" w:cs="仿宋"/>
          <w:color w:val="000000"/>
        </w:rPr>
        <w:t xml:space="preserve">优化投资结构，保持投资合理增长，发挥投资对优化供给结构的关键作用。</w:t>
      </w:r>
      <w:r>
        <w:rPr>
          <w:rFonts w:hint="eastAsia" w:hAnsi="仿宋" w:cs="仿宋"/>
          <w:color w:val="000000"/>
          <w:lang w:val="en-US"/>
        </w:rPr>
        <w:t xml:space="preserve">抢抓实施疫后重振补短板强功能“十大工程”机遇，</w:t>
      </w:r>
      <w:r>
        <w:rPr>
          <w:rFonts w:hAnsi="仿宋" w:cs="仿宋"/>
          <w:color w:val="000000"/>
          <w:lang w:val="en-US"/>
        </w:rPr>
        <w:t xml:space="preserve">聚焦</w:t>
      </w:r>
      <w:r>
        <w:rPr>
          <w:rFonts w:hint="eastAsia" w:hAnsi="仿宋" w:cs="仿宋"/>
          <w:color w:val="000000"/>
        </w:rPr>
        <w:t xml:space="preserve">基础设施、市政工程、农业农村、生态环保、公共卫生、应急保障、防灾减灾、民生保障等领域推进一批重大项目。推动企业设备更新和技术改造，扩大战略性新兴产业投资。推进新型城镇化、新型基础设施、水利交通能源等重大工程建设。</w:t>
      </w:r>
      <w:r>
        <w:rPr>
          <w:rFonts w:hint="eastAsia" w:hAnsi="仿宋" w:cs="仿宋"/>
          <w:color w:val="000000"/>
          <w:lang w:val="en-US"/>
        </w:rPr>
        <w:t xml:space="preserve">加强重点项目建设，动态完善投资项目储备库、建设库、达效库。继续实施重大项目集中开工、拉练观摩、通报晾晒等推进机制，形成在建一批、投产一批、储备一批、谋划一批的滚动发展、压茬推进格局。</w:t>
      </w:r>
      <w:r>
        <w:rPr>
          <w:rFonts w:hAnsi="仿宋" w:cs="仿宋"/>
          <w:color w:val="000000"/>
          <w:lang w:val="en-US"/>
        </w:rPr>
        <w:t xml:space="preserve">做好企业“进驻-建设-运营-监管”全流程服务，营造宽松的市场经营和投资环境，改善企业市场预期，提高企业投资信心。</w:t>
      </w:r>
      <w:r>
        <w:rPr>
          <w:rFonts w:hint="eastAsia" w:hAnsi="仿宋" w:cs="仿宋"/>
          <w:color w:val="000000"/>
        </w:rPr>
      </w:r>
      <w:r>
        <w:rPr>
          <w:rFonts w:hint="eastAsia" w:hAnsi="仿宋" w:cs="仿宋"/>
          <w:color w:val="000000"/>
        </w:rPr>
      </w:r>
    </w:p>
    <w:p>
      <w:pPr>
        <w:pStyle w:val="739"/>
        <w:pBdr/>
        <w:spacing/>
        <w:ind w:firstLine="720"/>
        <w:rPr>
          <w:rFonts w:hint="eastAsia" w:ascii="黑体" w:hAnsi="黑体" w:eastAsia="黑体" w:cs="黑体"/>
          <w:b w:val="0"/>
          <w:bCs w:val="0"/>
          <w:color w:val="000000"/>
        </w:rPr>
      </w:pPr>
      <w:r/>
      <w:bookmarkStart w:id="41" w:name="_Toc24125"/>
      <w:r>
        <w:rPr>
          <w:rFonts w:hint="eastAsia" w:ascii="黑体" w:hAnsi="黑体" w:eastAsia="黑体" w:cs="黑体"/>
          <w:b w:val="0"/>
          <w:bCs w:val="0"/>
          <w:color w:val="000000"/>
        </w:rPr>
        <w:t xml:space="preserve">二、建设现代流通体系</w:t>
      </w:r>
      <w:bookmarkEnd w:id="41"/>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建设高标准市场体系</w:t>
      </w:r>
      <w:r>
        <w:rPr>
          <w:rFonts w:hint="eastAsia" w:cs="仿宋_GB2312"/>
          <w:b/>
          <w:bCs/>
          <w:color w:val="000000"/>
        </w:rPr>
        <w:t xml:space="preserve">。</w:t>
      </w:r>
      <w:r>
        <w:rPr>
          <w:rFonts w:hint="eastAsia" w:cs="仿宋_GB2312"/>
          <w:color w:val="000000"/>
        </w:rPr>
        <w:t xml:space="preserve">坚持问题导向，打破地方保护、行政性垄断等阻碍统一大市场形成的各种痼疾，着力消除区域市场壁垒，打破行业垄断和地方保护，破除歧视性、隐蔽性的区域市场准入限制，推动市场一体化发展，促进劳动力、资本、技术、数据等要素以及商品和服务在城乡、区域间自由流动，实现空间配置合理高效，为畅通经济循环打下坚实基础。</w:t>
      </w:r>
      <w:r>
        <w:rPr>
          <w:rFonts w:hint="eastAsia" w:cs="仿宋_GB2312"/>
          <w:color w:val="000000"/>
        </w:rPr>
      </w:r>
      <w:r>
        <w:rPr>
          <w:rFonts w:hint="eastAsia" w:cs="仿宋_GB2312"/>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健全现代物流体系</w:t>
      </w:r>
      <w:r>
        <w:rPr>
          <w:rFonts w:hint="eastAsia" w:cs="仿宋_GB2312"/>
          <w:b/>
          <w:bCs/>
          <w:color w:val="000000"/>
        </w:rPr>
        <w:t xml:space="preserve">。</w:t>
      </w:r>
      <w:r>
        <w:rPr>
          <w:rFonts w:hint="eastAsia" w:cs="仿宋_GB2312"/>
          <w:color w:val="000000"/>
        </w:rPr>
        <w:t xml:space="preserve">重点在农副产品、电商、药品等民生领域，引进和培育一批现代物流龙头企业，支持本地物流企业开展标准化、智能化、绿色化改造，向集约化、规模化、园区化方向发展。发展冷链物流，推广农产品“生鲜电子商务+冷链宅配”“中央厨房+食材冷链配送”等服务新模式。发展智慧物流，搭建智慧物流云平台，建立智慧物流配送体系，优化货物商品流通、仓储、集散分拨流程。构建和完善市、县、乡、村四级物流体系，推动城市末端配送服务标准化建设。按照</w:t>
      </w:r>
      <w:r>
        <w:rPr>
          <w:color w:val="000000"/>
        </w:rPr>
        <w:t xml:space="preserve">“</w:t>
      </w:r>
      <w:r>
        <w:rPr>
          <w:rFonts w:hint="eastAsia" w:cs="仿宋_GB2312"/>
          <w:color w:val="000000"/>
        </w:rPr>
        <w:t xml:space="preserve">公路港</w:t>
      </w:r>
      <w:r>
        <w:rPr>
          <w:color w:val="000000"/>
        </w:rPr>
        <w:t xml:space="preserve">”</w:t>
      </w:r>
      <w:r>
        <w:rPr>
          <w:rFonts w:hint="eastAsia" w:cs="仿宋_GB2312"/>
          <w:color w:val="000000"/>
        </w:rPr>
        <w:t xml:space="preserve">模式建设随州市综合物流园、钢铁物流园、能源物流园，配套建设随县大随通物流园农村电商物流配送中心，推动随州城乡万吨农产品和食品冷链物流中心、广水市南门货运中心等项目建设和白沙洲物流园改造升级。</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优化综合运输体系</w:t>
      </w:r>
      <w:r>
        <w:rPr>
          <w:rFonts w:hint="eastAsia" w:cs="仿宋_GB2312"/>
          <w:b/>
          <w:bCs/>
          <w:color w:val="000000"/>
        </w:rPr>
        <w:t xml:space="preserve">。</w:t>
      </w:r>
      <w:r>
        <w:rPr>
          <w:rFonts w:hint="eastAsia" w:cs="仿宋_GB2312"/>
          <w:color w:val="000000"/>
        </w:rPr>
        <w:t xml:space="preserve">完善综合运输通道布局，加强公铁货运能力建设，加快形成内外联通、安全高效的交通运输网络，强化货运枢纽的集散输运功能，打造区域性集散中心。</w:t>
      </w:r>
      <w:r>
        <w:rPr>
          <w:color w:val="000000"/>
        </w:rPr>
      </w:r>
      <w:r>
        <w:rPr>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bookmarkStart w:id="42" w:name="_Toc4097"/>
      <w:r>
        <w:rPr>
          <w:rFonts w:hint="eastAsia" w:ascii="黑体" w:hAnsi="黑体" w:eastAsia="黑体" w:cs="黑体"/>
          <w:b w:val="0"/>
          <w:bCs w:val="0"/>
          <w:color w:val="000000"/>
        </w:rPr>
        <w:t xml:space="preserve">三、全面提高开放水平</w:t>
      </w:r>
      <w:bookmarkEnd w:id="42"/>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line="560" w:lineRule="exact"/>
        <w:ind w:firstLine="643"/>
        <w:rPr>
          <w:color w:val="000000"/>
        </w:rPr>
      </w:pPr>
      <w:r>
        <w:rPr>
          <w:rFonts w:hint="eastAsia" w:ascii="楷体_GB2312" w:hAnsi="楷体_GB2312" w:eastAsia="楷体_GB2312" w:cs="楷体_GB2312"/>
          <w:b/>
          <w:bCs/>
          <w:color w:val="000000"/>
        </w:rPr>
        <w:t xml:space="preserve">加快开放体制机制建设</w:t>
      </w:r>
      <w:r>
        <w:rPr>
          <w:rFonts w:hint="eastAsia" w:cs="仿宋_GB2312"/>
          <w:b/>
          <w:bCs/>
          <w:color w:val="000000"/>
        </w:rPr>
        <w:t xml:space="preserve">。</w:t>
      </w:r>
      <w:r>
        <w:rPr>
          <w:rFonts w:hint="eastAsia" w:cs="仿宋_GB2312"/>
          <w:color w:val="000000"/>
        </w:rPr>
        <w:t xml:space="preserve">积极融入湖北自贸区建设，用好国家级外贸转型升级示范基地、出口专用车产业质量安全示范区、出口食用菌质量安全示范区、农产品生态原产地产品保护示范区等重要平台，整合提升现有工业园区、农业产业园区及其物流园区，提高园区档次和水平，着力将产业园区打造成为对外开放、招商引资、承接产业的主要载体，重点围绕专用汽车、应急产业、农产品加工、生物医药等重点产业领域，积极承接长三角、粤港澳、京津冀等城市群和“武汉城市圈”产业转移，创建省级承接产业转移示范区。加快随州海关和保税物流中心（</w:t>
      </w:r>
      <w:r>
        <w:rPr>
          <w:rFonts w:hint="eastAsia" w:cs="仿宋_GB2312"/>
          <w:color w:val="000000"/>
          <w:lang w:val="en-US"/>
        </w:rPr>
        <w:t xml:space="preserve">B型）</w:t>
      </w:r>
      <w:r>
        <w:rPr>
          <w:rFonts w:hint="eastAsia" w:cs="仿宋_GB2312"/>
          <w:color w:val="000000"/>
        </w:rPr>
        <w:t xml:space="preserve">建设，用好公用型保税仓，提升贸易便利化水平。依托中国（随州）应急产业发展论坛、湖北</w:t>
      </w:r>
      <w:r>
        <w:rPr>
          <w:color w:val="000000"/>
        </w:rPr>
        <w:t xml:space="preserve">·</w:t>
      </w:r>
      <w:r>
        <w:rPr>
          <w:rFonts w:hint="eastAsia" w:cs="仿宋_GB2312"/>
          <w:color w:val="000000"/>
        </w:rPr>
        <w:t xml:space="preserve">随州国际香菇产业博览会等活动，争取成为应急产业发展论坛和香菇产业博览会固定举办场所，积极搭建随州对外交流合作平台。继续深化产业援疆、资金援疆、人才援疆、教育援疆、医疗援疆、项目援疆工作，完善稳定长效投入机制，推动随州与新疆</w:t>
      </w:r>
      <w:r>
        <w:rPr>
          <w:rFonts w:hint="eastAsia" w:cs="仿宋_GB2312"/>
          <w:color w:val="000000"/>
          <w:lang w:eastAsia="zh-CN"/>
        </w:rPr>
        <w:t xml:space="preserve">生产</w:t>
      </w:r>
      <w:r>
        <w:rPr>
          <w:rFonts w:hint="eastAsia" w:cs="仿宋_GB2312"/>
          <w:color w:val="000000"/>
        </w:rPr>
        <w:t xml:space="preserve">建设兵团五师</w:t>
      </w:r>
      <w:r>
        <w:rPr>
          <w:color w:val="000000"/>
        </w:rPr>
        <w:t xml:space="preserve">81</w:t>
      </w:r>
      <w:r>
        <w:rPr>
          <w:rFonts w:hint="eastAsia" w:cs="仿宋_GB2312"/>
          <w:color w:val="000000"/>
        </w:rPr>
        <w:t xml:space="preserve">团合作迈上新台阶。</w:t>
      </w:r>
      <w:r>
        <w:rPr>
          <w:color w:val="000000"/>
        </w:rPr>
      </w:r>
      <w:r>
        <w:rPr>
          <w:color w:val="000000"/>
        </w:rPr>
      </w:r>
    </w:p>
    <w:p>
      <w:pPr>
        <w:pStyle w:val="737"/>
        <w:pBdr/>
        <w:spacing w:line="560" w:lineRule="exact"/>
        <w:ind w:firstLine="643"/>
        <w:rPr>
          <w:rStyle w:val="749"/>
          <w:rFonts w:eastAsia="仿宋_GB2312"/>
          <w:color w:val="000000"/>
          <w:sz w:val="32"/>
          <w:szCs w:val="32"/>
        </w:rPr>
      </w:pPr>
      <w:r>
        <w:rPr>
          <w:rFonts w:hint="eastAsia" w:ascii="楷体_GB2312" w:hAnsi="楷体_GB2312" w:eastAsia="楷体_GB2312" w:cs="楷体_GB2312"/>
          <w:b/>
          <w:bCs/>
          <w:color w:val="000000"/>
        </w:rPr>
        <w:t xml:space="preserve">提升利用外资水平</w:t>
      </w:r>
      <w:r>
        <w:rPr>
          <w:rFonts w:hint="eastAsia" w:cs="仿宋_GB2312"/>
          <w:b/>
          <w:bCs/>
          <w:color w:val="000000"/>
        </w:rPr>
        <w:t xml:space="preserve">。</w:t>
      </w:r>
      <w:r>
        <w:rPr>
          <w:rFonts w:hint="eastAsia" w:cs="仿宋_GB2312"/>
          <w:color w:val="000000"/>
        </w:rPr>
        <w:t xml:space="preserve">扩大利用外资规模，提高利用外资质量，优化利用外资结构，实现利用外资逐年增长。持续推进外商投资自由化、便利化，全面落实准入前国民待遇加负面清单管理制度。严格执行《外商投资产业指导目录》，为外商投资企业创造优良环境。建立外资企业沟通协调长效机制，强化服务，充分依托我市特色产业集群，吸引上下游相关配套企业落户随州，延长产业链，形成集聚效应。强化招商引资，利用外资激励机制。积极参加各类投资性贸易洽谈会，参与各类重大国际国内投资洽谈活动，吸引外商直接投资。</w:t>
      </w:r>
      <w:r>
        <w:rPr>
          <w:rStyle w:val="749"/>
          <w:rFonts w:eastAsia="仿宋_GB2312"/>
          <w:color w:val="000000"/>
          <w:sz w:val="32"/>
          <w:szCs w:val="32"/>
        </w:rPr>
      </w:r>
      <w:r>
        <w:rPr>
          <w:rStyle w:val="749"/>
          <w:rFonts w:eastAsia="仿宋_GB2312"/>
          <w:color w:val="000000"/>
          <w:sz w:val="32"/>
          <w:szCs w:val="32"/>
        </w:rPr>
      </w:r>
    </w:p>
    <w:p>
      <w:pPr>
        <w:pStyle w:val="737"/>
        <w:pBdr/>
        <w:spacing w:line="560" w:lineRule="exact"/>
        <w:ind w:firstLine="643"/>
        <w:rPr>
          <w:rFonts w:hint="eastAsia" w:cs="仿宋_GB2312"/>
          <w:color w:val="000000"/>
        </w:rPr>
      </w:pPr>
      <w:r>
        <w:rPr>
          <w:rFonts w:hint="eastAsia" w:ascii="楷体_GB2312" w:hAnsi="楷体_GB2312" w:eastAsia="楷体_GB2312" w:cs="楷体_GB2312"/>
          <w:b/>
          <w:bCs/>
          <w:color w:val="000000"/>
        </w:rPr>
        <w:t xml:space="preserve">大力发展外向型经济</w:t>
      </w:r>
      <w:r>
        <w:rPr>
          <w:rFonts w:hint="eastAsia" w:cs="仿宋_GB2312"/>
          <w:color w:val="000000"/>
        </w:rPr>
        <w:t xml:space="preserve">。深度融入</w:t>
      </w:r>
      <w:r>
        <w:rPr>
          <w:color w:val="000000"/>
        </w:rPr>
        <w:t xml:space="preserve">“</w:t>
      </w:r>
      <w:r>
        <w:rPr>
          <w:rFonts w:hint="eastAsia" w:cs="仿宋_GB2312"/>
          <w:color w:val="000000"/>
        </w:rPr>
        <w:t xml:space="preserve">一带一路</w:t>
      </w:r>
      <w:r>
        <w:rPr>
          <w:color w:val="000000"/>
        </w:rPr>
        <w:t xml:space="preserve">”</w:t>
      </w:r>
      <w:r>
        <w:rPr>
          <w:rFonts w:hint="eastAsia" w:cs="仿宋_GB2312"/>
          <w:color w:val="000000"/>
        </w:rPr>
        <w:t xml:space="preserve">国家战略，积极开拓新兴市场，支持发展转口贸易。</w:t>
      </w:r>
      <w:bookmarkStart w:id="43" w:name="_Hlk54863864"/>
      <w:r>
        <w:rPr>
          <w:rFonts w:hint="eastAsia" w:cs="仿宋_GB2312"/>
          <w:color w:val="000000"/>
        </w:rPr>
        <w:t xml:space="preserve">大力提升全市开发区（园区）开放水平，加大开发区（园区）外贸综合服务中心培育力度，加快发展跨境电商、市场采购和外贸综合服务体等新业态，创新发展服务贸易，培育外贸新动能，争创国家级高新技术出口示范基地、省级服务外包示范城市和示范园区。</w:t>
      </w:r>
      <w:bookmarkEnd w:id="43"/>
      <w:r>
        <w:rPr>
          <w:rFonts w:hint="eastAsia" w:cs="仿宋_GB2312"/>
          <w:color w:val="000000"/>
        </w:rPr>
        <w:t xml:space="preserve">鼓励企业积极参与境外注册商标、申请专利、开展国际认证，规避贸易和技术壁垒，提升企业形象，提高产品竞争力，抢占市场份额。支持企业“走出去”，扩大国际产能和装备制造合作，优化出口商品结构，重点扶持专用汽车、汽车零部件等具有自主知识产权的高新技术和机电产品，以及农产品、纺织服装、化工等传统特色产品出口，提升产品档次和附加值，建设全国农产品生产加工出口基地和专用汽车出口基地，中部地区茶叶、中药材、生物医药出口基地。努力提高对外劳务合作层次，到</w:t>
      </w:r>
      <w:r>
        <w:rPr>
          <w:rFonts w:hint="eastAsia" w:cs="仿宋_GB2312"/>
          <w:color w:val="000000"/>
          <w:lang w:val="en-US"/>
        </w:rPr>
        <w:t xml:space="preserve">2025</w:t>
      </w:r>
      <w:r>
        <w:rPr>
          <w:rFonts w:hint="eastAsia" w:cs="仿宋_GB2312"/>
          <w:color w:val="000000"/>
        </w:rPr>
        <w:t xml:space="preserve">年，</w:t>
      </w:r>
      <w:r>
        <w:rPr>
          <w:rFonts w:hint="eastAsia" w:cs="仿宋_GB2312"/>
          <w:color w:val="000000"/>
          <w:lang w:eastAsia="zh-CN"/>
        </w:rPr>
        <w:t xml:space="preserve">全市</w:t>
      </w:r>
      <w:r>
        <w:rPr>
          <w:rFonts w:hint="eastAsia" w:cs="仿宋_GB2312"/>
          <w:color w:val="000000"/>
        </w:rPr>
        <w:t xml:space="preserve">新增</w:t>
      </w:r>
      <w:r>
        <w:rPr>
          <w:color w:val="000000"/>
        </w:rPr>
        <w:t xml:space="preserve">10</w:t>
      </w:r>
      <w:r>
        <w:rPr>
          <w:rFonts w:hint="eastAsia" w:cs="仿宋_GB2312"/>
          <w:color w:val="000000"/>
        </w:rPr>
        <w:t xml:space="preserve">家以上境外投资企业，培育</w:t>
      </w:r>
      <w:r>
        <w:rPr>
          <w:color w:val="000000"/>
        </w:rPr>
        <w:t xml:space="preserve">1</w:t>
      </w:r>
      <w:r>
        <w:rPr>
          <w:rFonts w:hint="eastAsia" w:cs="仿宋_GB2312"/>
          <w:color w:val="000000"/>
        </w:rPr>
        <w:t xml:space="preserve">家外派劳务资质企业，外派劳务人员达到</w:t>
      </w:r>
      <w:r>
        <w:rPr>
          <w:color w:val="000000"/>
        </w:rPr>
        <w:t xml:space="preserve">1</w:t>
      </w:r>
      <w:r>
        <w:rPr>
          <w:rFonts w:hint="eastAsia"/>
          <w:color w:val="000000"/>
          <w:lang w:val="en-US"/>
        </w:rPr>
        <w:t xml:space="preserve">000</w:t>
      </w:r>
      <w:r>
        <w:rPr>
          <w:rFonts w:hint="eastAsia" w:cs="仿宋_GB2312"/>
          <w:color w:val="000000"/>
        </w:rPr>
        <w:t xml:space="preserve">人次以上。</w:t>
      </w:r>
      <w:r>
        <w:rPr>
          <w:rFonts w:hint="eastAsia" w:cs="仿宋_GB2312"/>
          <w:color w:val="000000"/>
        </w:rPr>
      </w:r>
      <w:r>
        <w:rPr>
          <w:rFonts w:hint="eastAsia" w:cs="仿宋_GB2312"/>
          <w:color w:val="000000"/>
        </w:rPr>
      </w:r>
    </w:p>
    <w:p>
      <w:pPr>
        <w:pStyle w:val="738"/>
        <w:pBdr/>
        <w:spacing/>
        <w:ind/>
        <w:rPr>
          <w:rFonts w:hint="eastAsia" w:eastAsia="方正小标宋简体" w:cs="方正小标宋简体"/>
          <w:b w:val="0"/>
          <w:bCs w:val="0"/>
          <w:color w:val="000000"/>
          <w:sz w:val="36"/>
          <w:szCs w:val="36"/>
        </w:rPr>
      </w:pPr>
      <w:r/>
      <w:bookmarkStart w:id="44" w:name="_Toc16775"/>
      <w:r>
        <w:rPr>
          <w:rFonts w:hint="eastAsia" w:eastAsia="方正小标宋简体" w:cs="方正小标宋简体"/>
          <w:b w:val="0"/>
          <w:bCs w:val="0"/>
          <w:color w:val="000000"/>
          <w:sz w:val="36"/>
          <w:szCs w:val="36"/>
        </w:rPr>
      </w:r>
      <w:r>
        <w:rPr>
          <w:rFonts w:hint="eastAsia" w:eastAsia="方正小标宋简体" w:cs="方正小标宋简体"/>
          <w:b w:val="0"/>
          <w:bCs w:val="0"/>
          <w:color w:val="000000"/>
          <w:sz w:val="36"/>
          <w:szCs w:val="36"/>
        </w:rPr>
      </w:r>
    </w:p>
    <w:p>
      <w:pPr>
        <w:pStyle w:val="738"/>
        <w:pBdr/>
        <w:spacing/>
        <w:ind/>
        <w:rPr>
          <w:rFonts w:hint="eastAsia" w:eastAsia="方正小标宋简体" w:cs="方正小标宋简体"/>
          <w:b w:val="0"/>
          <w:bCs w:val="0"/>
          <w:color w:val="000000"/>
          <w:sz w:val="36"/>
          <w:szCs w:val="36"/>
        </w:rPr>
      </w:pPr>
      <w:r>
        <w:rPr>
          <w:rFonts w:hint="eastAsia" w:eastAsia="方正小标宋简体" w:cs="方正小标宋简体"/>
          <w:b w:val="0"/>
          <w:bCs w:val="0"/>
          <w:color w:val="000000"/>
          <w:sz w:val="36"/>
          <w:szCs w:val="36"/>
        </w:rPr>
      </w:r>
      <w:r>
        <w:rPr>
          <w:rFonts w:hint="eastAsia" w:eastAsia="方正小标宋简体" w:cs="方正小标宋简体"/>
          <w:b w:val="0"/>
          <w:bCs w:val="0"/>
          <w:color w:val="000000"/>
          <w:sz w:val="36"/>
          <w:szCs w:val="36"/>
        </w:rPr>
      </w:r>
    </w:p>
    <w:p>
      <w:pPr>
        <w:pStyle w:val="738"/>
        <w:pBdr/>
        <w:spacing/>
        <w:ind/>
        <w:rPr>
          <w:rFonts w:hint="eastAsia" w:eastAsia="方正小标宋简体"/>
          <w:b w:val="0"/>
          <w:bCs w:val="0"/>
          <w:color w:val="000000"/>
          <w:sz w:val="36"/>
          <w:szCs w:val="36"/>
        </w:rPr>
      </w:pPr>
      <w:r>
        <w:rPr>
          <w:rFonts w:hint="eastAsia" w:eastAsia="方正小标宋简体" w:cs="方正小标宋简体"/>
          <w:b w:val="0"/>
          <w:bCs w:val="0"/>
          <w:color w:val="000000"/>
          <w:sz w:val="36"/>
          <w:szCs w:val="36"/>
        </w:rPr>
        <w:t xml:space="preserve">第五章</w:t>
      </w:r>
      <w:r>
        <w:rPr>
          <w:rFonts w:eastAsia="方正小标宋简体"/>
          <w:b w:val="0"/>
          <w:bCs w:val="0"/>
          <w:color w:val="000000"/>
          <w:sz w:val="36"/>
          <w:szCs w:val="36"/>
        </w:rPr>
        <w:t xml:space="preserve"> </w:t>
      </w:r>
      <w:r>
        <w:rPr>
          <w:rFonts w:hint="eastAsia" w:eastAsia="方正小标宋简体" w:cs="方正小标宋简体"/>
          <w:b w:val="0"/>
          <w:bCs w:val="0"/>
          <w:color w:val="000000"/>
          <w:sz w:val="36"/>
          <w:szCs w:val="36"/>
        </w:rPr>
        <w:t xml:space="preserve">大力发展数字经济</w:t>
      </w:r>
      <w:r>
        <w:rPr>
          <w:rFonts w:hint="eastAsia" w:eastAsia="方正小标宋简体" w:cs="方正小标宋简体"/>
          <w:b w:val="0"/>
          <w:bCs w:val="0"/>
          <w:color w:val="000000"/>
          <w:sz w:val="36"/>
          <w:szCs w:val="36"/>
          <w:lang w:val="en-US"/>
        </w:rPr>
        <w:t xml:space="preserve"> </w:t>
      </w:r>
      <w:r>
        <w:rPr>
          <w:rFonts w:hint="eastAsia" w:eastAsia="方正小标宋简体" w:cs="方正小标宋简体"/>
          <w:b w:val="0"/>
          <w:bCs w:val="0"/>
          <w:color w:val="000000"/>
          <w:sz w:val="36"/>
          <w:szCs w:val="36"/>
        </w:rPr>
        <w:t xml:space="preserve">建设数字随州</w:t>
      </w:r>
      <w:bookmarkEnd w:id="44"/>
      <w:r>
        <w:rPr>
          <w:rFonts w:hint="eastAsia" w:eastAsia="方正小标宋简体"/>
          <w:b w:val="0"/>
          <w:bCs w:val="0"/>
          <w:color w:val="000000"/>
          <w:sz w:val="36"/>
          <w:szCs w:val="36"/>
        </w:rPr>
      </w:r>
      <w:r>
        <w:rPr>
          <w:rFonts w:hint="eastAsia" w:eastAsia="方正小标宋简体"/>
          <w:b w:val="0"/>
          <w:bCs w:val="0"/>
          <w:color w:val="000000"/>
          <w:sz w:val="36"/>
          <w:szCs w:val="36"/>
        </w:rPr>
      </w:r>
    </w:p>
    <w:p>
      <w:pPr>
        <w:pStyle w:val="737"/>
        <w:pBdr/>
        <w:spacing/>
        <w:ind w:firstLine="640"/>
        <w:rPr>
          <w:color w:val="000000"/>
        </w:rPr>
      </w:pPr>
      <w:r>
        <w:rPr>
          <w:color w:val="000000"/>
        </w:rPr>
      </w:r>
      <w:r>
        <w:rPr>
          <w:color w:val="000000"/>
        </w:rPr>
      </w:r>
    </w:p>
    <w:p>
      <w:pPr>
        <w:pStyle w:val="737"/>
        <w:pBdr/>
        <w:spacing/>
        <w:ind w:firstLine="640"/>
        <w:rPr>
          <w:color w:val="000000"/>
        </w:rPr>
      </w:pPr>
      <w:r>
        <w:rPr>
          <w:rFonts w:hint="eastAsia" w:cs="仿宋_GB2312"/>
          <w:color w:val="000000"/>
        </w:rPr>
        <w:t xml:space="preserve">聚焦未来前沿新产业，聚力智能工业新制造，大力发展数字经济，加快政府</w:t>
      </w:r>
      <w:r>
        <w:rPr>
          <w:rFonts w:cs="仿宋_GB2312"/>
          <w:color w:val="000000"/>
        </w:rPr>
        <w:t xml:space="preserve">数字化转型,创新数字经济多元协同治理体系</w:t>
      </w:r>
      <w:r>
        <w:rPr>
          <w:rFonts w:hint="eastAsia" w:cs="仿宋_GB2312"/>
          <w:color w:val="000000"/>
        </w:rPr>
        <w:t xml:space="preserve">，形成与数字经济生产力发展相适应的新型生产关系。</w:t>
      </w:r>
      <w:r>
        <w:rPr>
          <w:color w:val="000000"/>
        </w:rPr>
      </w:r>
      <w:r>
        <w:rPr>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bookmarkStart w:id="45" w:name="_Toc14323"/>
      <w:r>
        <w:rPr>
          <w:rFonts w:hint="eastAsia" w:ascii="黑体" w:hAnsi="黑体" w:eastAsia="黑体" w:cs="黑体"/>
          <w:b w:val="0"/>
          <w:bCs w:val="0"/>
          <w:color w:val="000000"/>
        </w:rPr>
        <w:t xml:space="preserve">一、积极培育壮大数字经济</w:t>
      </w:r>
      <w:bookmarkEnd w:id="45"/>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持续推进制造业数字化转</w:t>
      </w:r>
      <w:r>
        <w:rPr>
          <w:rFonts w:hint="eastAsia" w:cs="仿宋_GB2312"/>
          <w:b/>
          <w:bCs/>
          <w:color w:val="000000"/>
        </w:rPr>
        <w:t xml:space="preserve">型。</w:t>
      </w:r>
      <w:r>
        <w:rPr>
          <w:rFonts w:hint="eastAsia" w:cs="仿宋_GB2312"/>
          <w:color w:val="000000"/>
        </w:rPr>
        <w:t xml:space="preserve">以国家推动制造业数字化转型为契机，大力发展离散型智能制造、流程型智能制造、网络协同制造、大规模个性化定制、远程运维服务等智能制造新模式应用。探索实施重点骨干企业智能化改造工程，积极开展规上企业装备智能化改造升级、制造生产线智能化改造等，着力培育认定一批数字化车间、智能工厂，积极打造</w:t>
      </w:r>
      <w:r>
        <w:rPr>
          <w:color w:val="000000"/>
        </w:rPr>
        <w:t xml:space="preserve">“</w:t>
      </w:r>
      <w:r>
        <w:rPr>
          <w:rFonts w:hint="eastAsia" w:cs="仿宋_GB2312"/>
          <w:color w:val="000000"/>
        </w:rPr>
        <w:t xml:space="preserve">未来工厂</w:t>
      </w:r>
      <w:r>
        <w:rPr>
          <w:color w:val="000000"/>
        </w:rPr>
        <w:t xml:space="preserve">”</w:t>
      </w:r>
      <w:r>
        <w:rPr>
          <w:rFonts w:hint="eastAsia" w:cs="仿宋_GB2312"/>
          <w:color w:val="000000"/>
        </w:rPr>
        <w:t xml:space="preserve">，推动制造企业实现全流程、全链条数字化转型。面向专用汽车、农产品加工、生物医药等主导行业，选择基础条件好、创新能力强的重点骨干企业，分类分步推进一批智能制造新模式应用示范项目，培育一批智能制造标杆企业。积极发展人工智能产业，积极布局以智能手机、智能手表、智能耳机为主的智能可穿戴产品、智能车载设备、智慧医疗设备以及智能家居产品等新兴领域。</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大力发展数字服务业</w:t>
      </w:r>
      <w:r>
        <w:rPr>
          <w:rFonts w:hint="eastAsia" w:cs="仿宋_GB2312"/>
          <w:b/>
          <w:bCs/>
          <w:color w:val="000000"/>
        </w:rPr>
        <w:t xml:space="preserve">。</w:t>
      </w:r>
      <w:r>
        <w:rPr>
          <w:rFonts w:hint="eastAsia" w:cs="仿宋_GB2312"/>
          <w:color w:val="000000"/>
        </w:rPr>
        <w:t xml:space="preserve">完善</w:t>
      </w:r>
      <w:r>
        <w:rPr>
          <w:color w:val="000000"/>
        </w:rPr>
        <w:t xml:space="preserve">“</w:t>
      </w:r>
      <w:r>
        <w:rPr>
          <w:rFonts w:hint="eastAsia" w:cs="仿宋_GB2312"/>
          <w:color w:val="000000"/>
        </w:rPr>
        <w:t xml:space="preserve">互联网</w:t>
      </w:r>
      <w:r>
        <w:rPr>
          <w:color w:val="000000"/>
        </w:rPr>
        <w:t xml:space="preserve">+”</w:t>
      </w:r>
      <w:r>
        <w:rPr>
          <w:rFonts w:hint="eastAsia" w:cs="仿宋_GB2312"/>
          <w:color w:val="000000"/>
        </w:rPr>
        <w:t xml:space="preserve">消费生态体系，鼓励建设智慧商店、智慧街区、智慧商圈，加快发展网上菜场、网上餐厅和网上超市，培育一批线上经济示范平台。建设华中（随州）工业互联网运营中心、随州联通工业互联网研究院，鼓励企业运用物联网、大数据、</w:t>
      </w:r>
      <w:r>
        <w:rPr>
          <w:color w:val="000000"/>
        </w:rPr>
        <w:t xml:space="preserve">AR/VR</w:t>
      </w:r>
      <w:r>
        <w:rPr>
          <w:rFonts w:hint="eastAsia" w:cs="仿宋_GB2312"/>
          <w:color w:val="000000"/>
        </w:rPr>
        <w:t xml:space="preserve">等科技手段，发展云逛街、云旅游、云观展和云阅读等新模式新业态。大力发展</w:t>
      </w:r>
      <w:r>
        <w:rPr>
          <w:color w:val="000000"/>
        </w:rPr>
        <w:t xml:space="preserve">“</w:t>
      </w:r>
      <w:r>
        <w:rPr>
          <w:rFonts w:hint="eastAsia" w:cs="仿宋_GB2312"/>
          <w:color w:val="000000"/>
        </w:rPr>
        <w:t xml:space="preserve">互联网</w:t>
      </w:r>
      <w:r>
        <w:rPr>
          <w:color w:val="000000"/>
        </w:rPr>
        <w:t xml:space="preserve">+</w:t>
      </w:r>
      <w:r>
        <w:rPr>
          <w:rFonts w:hint="eastAsia" w:cs="仿宋_GB2312"/>
          <w:color w:val="000000"/>
        </w:rPr>
        <w:t xml:space="preserve">社会服务</w:t>
      </w:r>
      <w:r>
        <w:rPr>
          <w:color w:val="000000"/>
        </w:rPr>
        <w:t xml:space="preserve">”</w:t>
      </w:r>
      <w:r>
        <w:rPr>
          <w:rFonts w:hint="eastAsia" w:cs="仿宋_GB2312"/>
          <w:color w:val="000000"/>
        </w:rPr>
        <w:t xml:space="preserve">消费模式，促进教育、医疗健康、养老、托育、家政、文旅、体育等服务消费线上线下融合发展，拓展服务内容，扩大服务覆盖面，加快建立面向农村的远程在线服务体系。</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积极发展车联网产业</w:t>
      </w:r>
      <w:r>
        <w:rPr>
          <w:rFonts w:hint="eastAsia" w:cs="仿宋_GB2312"/>
          <w:b/>
          <w:bCs/>
          <w:color w:val="000000"/>
        </w:rPr>
        <w:t xml:space="preserve">。</w:t>
      </w:r>
      <w:r>
        <w:rPr>
          <w:rFonts w:hint="eastAsia" w:cs="仿宋_GB2312"/>
          <w:color w:val="000000"/>
        </w:rPr>
        <w:t xml:space="preserve">依托随州专用汽车产业优势，以汽车无人驾驶等领域应用为突破口，加快汽车无人驾驶辅助决策系统研发，加快推进智能辅助驾驶系统、智能决策与控制等关键技术攻关及产业化。鼓励汽车及零部件制造企业向智能化、网联化方向转型，支持企业开展智能网联终端、车辆智能化零部件的研发生产。依托亚美科技数据运营中心，应用车联网大数据发展智慧交通。</w:t>
      </w:r>
      <w:r>
        <w:rPr>
          <w:color w:val="000000"/>
        </w:rPr>
      </w:r>
      <w:r>
        <w:rPr>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bookmarkStart w:id="46" w:name="_Toc21864"/>
      <w:r>
        <w:rPr>
          <w:rFonts w:hint="eastAsia" w:ascii="黑体" w:hAnsi="黑体" w:eastAsia="黑体" w:cs="黑体"/>
          <w:b w:val="0"/>
          <w:bCs w:val="0"/>
          <w:color w:val="000000"/>
        </w:rPr>
        <w:t xml:space="preserve">二、加快数字社会建设步伐</w:t>
      </w:r>
      <w:bookmarkEnd w:id="46"/>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加快推进智慧随州建设</w:t>
      </w:r>
      <w:r>
        <w:rPr>
          <w:rFonts w:hint="eastAsia" w:cs="仿宋_GB2312"/>
          <w:color w:val="000000"/>
        </w:rPr>
        <w:t xml:space="preserve">。整合相关部门行业数据资源，建成全市统一的数据中心，建设城市综合管理服务平台。充分运用物联网、云计算、大数据、智能感知、智能识别、5G、区块链等现代信息技术，对现有数字城市管理系统架构进行全面升级、对城市管理业务流程进行全面梳理，构建智慧化城市管理系统。整合数据资源，完善覆盖“市-区-街-社区（村）”四级的城市管理协同工作网络，实现指挥评价系统的精准管理。拓展城市综合服务功能，全面共享行</w:t>
      </w:r>
      <w:r>
        <w:rPr>
          <w:rFonts w:hint="eastAsia" w:cs="仿宋_GB2312"/>
          <w:color w:val="000000"/>
        </w:rPr>
        <w:t xml:space="preserve">政许可、监管巡查、行政执法、考核评价、诚信惩戒中产生的各类数据，打造随州“数据超市”。建设智慧城管应急指挥、智慧园林监管、智慧市政监管、智慧环卫监管、智慧城管执法、智慧查违控违、城管便民服务、AI视频智能分析等应用系统，构建城乡一体的感知、分析、服务、指挥、监督、考核“六位一体”智慧城管新模式，实现城市管理问题信息智能采集、任务自动派遣、指挥及时精准、处置实时监管、考核量化评价和城市运行状态全感知、全监测、全分析。有效整合城市管理资源，强化部门之间的工作联动，实现城市管理工作信息化、标准化、精细化和长效化。</w:t>
      </w:r>
      <w:r>
        <w:rPr>
          <w:rFonts w:hint="eastAsia" w:cs="仿宋_GB2312"/>
          <w:color w:val="000000"/>
        </w:rPr>
      </w:r>
      <w:r>
        <w:rPr>
          <w:rFonts w:hint="eastAsia" w:cs="仿宋_GB2312"/>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开拓数字应用新空间</w:t>
      </w:r>
      <w:r>
        <w:rPr>
          <w:rFonts w:hint="eastAsia" w:cs="仿宋_GB2312"/>
          <w:b/>
          <w:bCs/>
          <w:color w:val="000000"/>
        </w:rPr>
        <w:t xml:space="preserve">。</w:t>
      </w:r>
      <w:r>
        <w:rPr>
          <w:rFonts w:hint="eastAsia" w:cs="仿宋_GB2312"/>
          <w:color w:val="000000"/>
        </w:rPr>
        <w:t xml:space="preserve">积极推广直播电商、社区电商、社交电商、工业电商、短视频电商、农村电商等电商新模式，创新电商服务新业态，支持湖北直播电商学院做大做强。大力推广新零售模式，加大智能售货机投放力度。推进生活服务场景的数字化升级，打通民生服务各领域的信息数据共享渠道，构建线上线下一体化的民生服务体系。统筹推进智能投递、智慧养老、智能停车等生活服务类设施建设，加快建设应用未来社区智慧服务平台，打造新型乡村社区功能单元。推进数字经济在民生服务场景中的应用，加快智慧校园和智慧医共体建设。</w:t>
      </w:r>
      <w:r>
        <w:rPr>
          <w:color w:val="000000"/>
        </w:rPr>
      </w:r>
      <w:r>
        <w:rPr>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bookmarkStart w:id="47" w:name="_Toc21965"/>
      <w:r>
        <w:rPr>
          <w:rFonts w:hint="eastAsia" w:ascii="黑体" w:hAnsi="黑体" w:eastAsia="黑体" w:cs="黑体"/>
          <w:b w:val="0"/>
          <w:bCs w:val="0"/>
          <w:color w:val="000000"/>
        </w:rPr>
        <w:t xml:space="preserve">三、提高数字政府建设水平</w:t>
      </w:r>
      <w:bookmarkEnd w:id="47"/>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color w:val="000000"/>
        </w:rPr>
      </w:pPr>
      <w:r>
        <w:rPr>
          <w:rFonts w:hint="eastAsia"/>
          <w:color w:val="000000"/>
        </w:rPr>
        <w:t xml:space="preserve">大力推进数字政府建设，制定数字化转型路线图，将数字化思维与部门运行机制融合，建成大数据能力平台，整合政府云平台，改造政务网络体系，构建安全保障体系，实现办公、财务、资产、业务、服务等数字化转型。深化</w:t>
      </w:r>
      <w:r>
        <w:rPr>
          <w:color w:val="000000"/>
        </w:rPr>
        <w:t xml:space="preserve">“</w:t>
      </w:r>
      <w:r>
        <w:rPr>
          <w:rFonts w:hint="eastAsia"/>
          <w:color w:val="000000"/>
        </w:rPr>
        <w:t xml:space="preserve">互联网</w:t>
      </w:r>
      <w:r>
        <w:rPr>
          <w:color w:val="000000"/>
        </w:rPr>
        <w:t xml:space="preserve">+</w:t>
      </w:r>
      <w:r>
        <w:rPr>
          <w:rFonts w:hint="eastAsia"/>
          <w:color w:val="000000"/>
        </w:rPr>
        <w:t xml:space="preserve">政务服务</w:t>
      </w:r>
      <w:r>
        <w:rPr>
          <w:color w:val="000000"/>
        </w:rPr>
        <w:t xml:space="preserve">”</w:t>
      </w:r>
      <w:r>
        <w:rPr>
          <w:rFonts w:hint="eastAsia"/>
          <w:color w:val="000000"/>
        </w:rPr>
        <w:t xml:space="preserve">，通过统一身份认证、电子印章、电子证照等支撑平台，构建用户为中心的业务流程。拓展</w:t>
      </w:r>
      <w:r>
        <w:rPr>
          <w:color w:val="000000"/>
        </w:rPr>
        <w:t xml:space="preserve">“</w:t>
      </w:r>
      <w:r>
        <w:rPr>
          <w:rFonts w:hint="eastAsia"/>
          <w:color w:val="000000"/>
        </w:rPr>
        <w:t xml:space="preserve">互联网</w:t>
      </w:r>
      <w:r>
        <w:rPr>
          <w:color w:val="000000"/>
        </w:rPr>
        <w:t xml:space="preserve">+</w:t>
      </w:r>
      <w:r>
        <w:rPr>
          <w:rFonts w:hint="eastAsia"/>
          <w:color w:val="000000"/>
        </w:rPr>
        <w:t xml:space="preserve">监管</w:t>
      </w:r>
      <w:r>
        <w:rPr>
          <w:color w:val="000000"/>
        </w:rPr>
        <w:t xml:space="preserve">”</w:t>
      </w:r>
      <w:r>
        <w:rPr>
          <w:rFonts w:hint="eastAsia"/>
          <w:color w:val="000000"/>
        </w:rPr>
        <w:t xml:space="preserve">，强化对地方和部门监管。实现数据充分共享、安全利用、有序开放，建成上接省、下联县市区，业务体系、管理体系、技术体系三位一体的服务高效、治理精准、决策科学的整体数字政府。</w:t>
      </w:r>
      <w:r>
        <w:rPr>
          <w:color w:val="000000"/>
        </w:rPr>
      </w:r>
      <w:r>
        <w:rPr>
          <w:color w:val="000000"/>
        </w:rPr>
      </w:r>
    </w:p>
    <w:p>
      <w:pPr>
        <w:pStyle w:val="737"/>
        <w:pBdr/>
        <w:spacing/>
        <w:ind w:firstLine="640"/>
        <w:rPr>
          <w:color w:val="000000"/>
        </w:rPr>
      </w:pPr>
      <w:r>
        <w:rPr>
          <w:color w:val="000000"/>
        </w:rPr>
      </w:r>
      <w:r>
        <w:rPr>
          <w:color w:val="000000"/>
        </w:rPr>
      </w:r>
    </w:p>
    <w:p>
      <w:pPr>
        <w:pStyle w:val="737"/>
        <w:pBdr/>
        <w:spacing/>
        <w:ind w:firstLine="640"/>
        <w:rPr>
          <w:color w:val="000000"/>
        </w:rPr>
      </w:pPr>
      <w:r>
        <w:rPr>
          <w:color w:val="000000"/>
        </w:rPr>
        <w:br w:type="page" w:clear="all"/>
      </w:r>
      <w:r>
        <w:rPr>
          <w:color w:val="000000"/>
        </w:rPr>
      </w:r>
      <w:r>
        <w:rPr>
          <w:color w:val="000000"/>
        </w:rPr>
      </w:r>
    </w:p>
    <w:p>
      <w:pPr>
        <w:pStyle w:val="737"/>
        <w:pBdr/>
        <w:spacing/>
        <w:ind w:firstLine="640"/>
        <w:rPr>
          <w:color w:val="000000"/>
        </w:rPr>
      </w:pPr>
      <w:r>
        <w:rPr>
          <w:color w:val="000000"/>
        </w:rPr>
      </w:r>
      <w:r>
        <w:rPr>
          <w:color w:val="000000"/>
        </w:rPr>
      </w:r>
    </w:p>
    <w:p>
      <w:pPr>
        <w:pStyle w:val="738"/>
        <w:pBdr/>
        <w:spacing/>
        <w:ind/>
        <w:rPr>
          <w:rFonts w:hint="eastAsia" w:eastAsia="方正小标宋简体"/>
          <w:b w:val="0"/>
          <w:bCs w:val="0"/>
          <w:color w:val="000000"/>
          <w:sz w:val="36"/>
          <w:szCs w:val="36"/>
        </w:rPr>
      </w:pPr>
      <w:r/>
      <w:bookmarkStart w:id="48" w:name="_Toc31111"/>
      <w:r>
        <w:rPr>
          <w:rFonts w:hint="eastAsia" w:eastAsia="方正小标宋简体"/>
          <w:b w:val="0"/>
          <w:bCs w:val="0"/>
          <w:color w:val="000000"/>
          <w:sz w:val="36"/>
          <w:szCs w:val="36"/>
        </w:rPr>
        <w:t xml:space="preserve">第六章 承接区域发展布局</w:t>
      </w:r>
      <w:r>
        <w:rPr>
          <w:rFonts w:hint="eastAsia" w:eastAsia="方正小标宋简体"/>
          <w:b w:val="0"/>
          <w:bCs w:val="0"/>
          <w:color w:val="000000"/>
          <w:sz w:val="36"/>
          <w:szCs w:val="36"/>
          <w:lang w:val="en-US"/>
        </w:rPr>
        <w:t xml:space="preserve"> </w:t>
      </w:r>
      <w:r>
        <w:rPr>
          <w:rFonts w:hint="eastAsia" w:eastAsia="方正小标宋简体"/>
          <w:b w:val="0"/>
          <w:bCs w:val="0"/>
          <w:color w:val="000000"/>
          <w:sz w:val="36"/>
          <w:szCs w:val="36"/>
        </w:rPr>
        <w:t xml:space="preserve">打造“汉襄肱骨”</w:t>
      </w:r>
      <w:bookmarkEnd w:id="48"/>
      <w:r>
        <w:rPr>
          <w:rFonts w:hint="eastAsia" w:eastAsia="方正小标宋简体"/>
          <w:b w:val="0"/>
          <w:bCs w:val="0"/>
          <w:color w:val="000000"/>
          <w:sz w:val="36"/>
          <w:szCs w:val="36"/>
        </w:rPr>
      </w:r>
      <w:r>
        <w:rPr>
          <w:rFonts w:hint="eastAsia" w:eastAsia="方正小标宋简体"/>
          <w:b w:val="0"/>
          <w:bCs w:val="0"/>
          <w:color w:val="000000"/>
          <w:sz w:val="36"/>
          <w:szCs w:val="36"/>
        </w:rPr>
      </w:r>
    </w:p>
    <w:p>
      <w:pPr>
        <w:pStyle w:val="737"/>
        <w:pBdr/>
        <w:spacing/>
        <w:ind w:firstLine="640"/>
        <w:rPr>
          <w:rStyle w:val="778"/>
          <w:rFonts w:hint="eastAsia" w:eastAsia="楷体_GB2312" w:cs="楷体_GB2312"/>
          <w:color w:val="000000"/>
          <w:u w:val="none"/>
        </w:rPr>
      </w:pPr>
      <w:r>
        <w:rPr>
          <w:rStyle w:val="778"/>
          <w:rFonts w:hint="eastAsia" w:eastAsia="楷体_GB2312" w:cs="楷体_GB2312"/>
          <w:color w:val="000000"/>
          <w:u w:val="none"/>
        </w:rPr>
      </w:r>
      <w:r>
        <w:rPr>
          <w:rStyle w:val="778"/>
          <w:rFonts w:hint="eastAsia" w:eastAsia="楷体_GB2312" w:cs="楷体_GB2312"/>
          <w:color w:val="000000"/>
          <w:u w:val="none"/>
        </w:rPr>
      </w:r>
    </w:p>
    <w:p>
      <w:pPr>
        <w:pStyle w:val="737"/>
        <w:pBdr/>
        <w:spacing w:line="560" w:lineRule="exact"/>
        <w:ind w:firstLine="640"/>
        <w:rPr>
          <w:rFonts w:cs="仿宋_GB2312"/>
          <w:b/>
          <w:bCs/>
          <w:color w:val="000000"/>
        </w:rPr>
      </w:pPr>
      <w:r>
        <w:rPr>
          <w:rFonts w:hint="eastAsia" w:cs="仿宋_GB2312"/>
          <w:color w:val="000000"/>
          <w:lang w:val="en-US"/>
        </w:rPr>
        <w:t xml:space="preserve">主动服务和融入共建“一带一路”、长江经济带发展、促进中部地区崛起、汉江生态经济带、淮河生态经济带、大别山革命老区等国家战略和湖北“一主引领、两翼驱动、全域协同”区域发展布局，加快形成“桥接汉襄、融通鄂豫、众星拱月”的联动发展新局面，擦亮汉东明珠。</w:t>
      </w:r>
      <w:r>
        <w:rPr>
          <w:rFonts w:cs="仿宋_GB2312"/>
          <w:b/>
          <w:bCs/>
          <w:color w:val="000000"/>
        </w:rPr>
      </w:r>
      <w:r>
        <w:rPr>
          <w:rFonts w:cs="仿宋_GB2312"/>
          <w:b/>
          <w:bCs/>
          <w:color w:val="000000"/>
        </w:rPr>
      </w:r>
    </w:p>
    <w:p>
      <w:pPr>
        <w:pStyle w:val="737"/>
        <w:pBdr/>
        <w:spacing/>
        <w:ind w:firstLine="640"/>
        <w:rPr>
          <w:rStyle w:val="778"/>
          <w:rFonts w:hint="eastAsia" w:eastAsia="楷体_GB2312" w:cs="楷体_GB2312"/>
          <w:color w:val="000000"/>
          <w:u w:val="none"/>
        </w:rPr>
      </w:pPr>
      <w:r>
        <w:rPr>
          <w:rStyle w:val="778"/>
          <w:rFonts w:hint="eastAsia" w:eastAsia="楷体_GB2312" w:cs="楷体_GB2312"/>
          <w:color w:val="000000"/>
          <w:u w:val="none"/>
        </w:rPr>
      </w:r>
      <w:r>
        <w:rPr>
          <w:rStyle w:val="778"/>
          <w:rFonts w:hint="eastAsia" w:eastAsia="楷体_GB2312" w:cs="楷体_GB2312"/>
          <w:color w:val="000000"/>
          <w:u w:val="none"/>
        </w:rPr>
      </w:r>
    </w:p>
    <w:p>
      <w:pPr>
        <w:pStyle w:val="739"/>
        <w:pBdr/>
        <w:spacing/>
        <w:ind w:firstLine="720"/>
        <w:rPr>
          <w:rFonts w:hint="eastAsia" w:ascii="黑体" w:hAnsi="黑体" w:eastAsia="黑体" w:cs="黑体"/>
          <w:b w:val="0"/>
          <w:bCs w:val="0"/>
          <w:color w:val="000000"/>
        </w:rPr>
      </w:pPr>
      <w:r/>
      <w:bookmarkStart w:id="49" w:name="_Toc21002"/>
      <w:r>
        <w:rPr>
          <w:rFonts w:hint="eastAsia" w:ascii="黑体" w:hAnsi="黑体" w:eastAsia="黑体" w:cs="黑体"/>
          <w:b w:val="0"/>
          <w:bCs w:val="0"/>
          <w:color w:val="000000"/>
        </w:rPr>
        <w:t xml:space="preserve">一、建成“桥接汉襄”关键支撑</w:t>
      </w:r>
      <w:bookmarkEnd w:id="49"/>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rFonts w:hint="eastAsia"/>
          <w:color w:val="000000"/>
        </w:rPr>
      </w:pPr>
      <w:r>
        <w:rPr>
          <w:rFonts w:hint="eastAsia"/>
          <w:color w:val="000000"/>
        </w:rPr>
        <w:t xml:space="preserve">深度融入“襄十随神”城市群和“武汉城市圈”建设，加强发展规划对接，推动与</w:t>
      </w:r>
      <w:r>
        <w:rPr>
          <w:rFonts w:hint="eastAsia"/>
          <w:color w:val="000000"/>
          <w:lang w:eastAsia="zh-CN"/>
        </w:rPr>
        <w:t xml:space="preserve">武</w:t>
      </w:r>
      <w:r>
        <w:rPr>
          <w:rFonts w:hint="eastAsia"/>
          <w:color w:val="000000"/>
        </w:rPr>
        <w:t xml:space="preserve">汉</w:t>
      </w:r>
      <w:r>
        <w:rPr>
          <w:rFonts w:hint="eastAsia"/>
          <w:color w:val="000000"/>
          <w:lang w:eastAsia="zh-CN"/>
        </w:rPr>
        <w:t xml:space="preserve">、</w:t>
      </w:r>
      <w:r>
        <w:rPr>
          <w:rFonts w:hint="eastAsia"/>
          <w:color w:val="000000"/>
        </w:rPr>
        <w:t xml:space="preserve">襄</w:t>
      </w:r>
      <w:r>
        <w:rPr>
          <w:rFonts w:hint="eastAsia"/>
          <w:color w:val="000000"/>
          <w:lang w:eastAsia="zh-CN"/>
        </w:rPr>
        <w:t xml:space="preserve">阳</w:t>
      </w:r>
      <w:r>
        <w:rPr>
          <w:rFonts w:hint="eastAsia"/>
          <w:color w:val="000000"/>
        </w:rPr>
        <w:t xml:space="preserve">等城市在产业、基础设施、公共服务等方面布局相衔接，推动一体化发展，在“两翼驱动”北部列阵上发挥肱骨之力。</w:t>
      </w:r>
      <w:r>
        <w:rPr>
          <w:rFonts w:hint="eastAsia"/>
          <w:color w:val="000000"/>
        </w:rPr>
      </w:r>
      <w:r>
        <w:rPr>
          <w:rFonts w:hint="eastAsia"/>
          <w:color w:val="000000"/>
        </w:rPr>
      </w:r>
    </w:p>
    <w:p>
      <w:pPr>
        <w:pStyle w:val="737"/>
        <w:pBdr/>
        <w:spacing/>
        <w:ind w:firstLine="643"/>
        <w:rPr>
          <w:rFonts w:hint="eastAsia"/>
          <w:color w:val="000000"/>
        </w:rPr>
      </w:pPr>
      <w:r>
        <w:rPr>
          <w:rFonts w:hint="eastAsia" w:ascii="楷体_GB2312" w:hAnsi="楷体_GB2312" w:eastAsia="楷体_GB2312" w:cs="楷体_GB2312"/>
          <w:b/>
          <w:bCs/>
          <w:color w:val="000000"/>
        </w:rPr>
        <w:t xml:space="preserve">推动交通设施互联互通</w:t>
      </w:r>
      <w:r>
        <w:rPr>
          <w:rFonts w:hint="eastAsia"/>
          <w:b/>
          <w:bCs/>
          <w:color w:val="000000"/>
        </w:rPr>
        <w:t xml:space="preserve">。</w:t>
      </w:r>
      <w:r>
        <w:rPr>
          <w:rFonts w:hint="eastAsia"/>
          <w:color w:val="000000"/>
        </w:rPr>
        <w:t xml:space="preserve">加快融入汉十综合立体交通走廊建设，与武汉、襄阳两市共同谋划一批交通项目争取</w:t>
      </w:r>
      <w:r>
        <w:rPr>
          <w:rFonts w:hint="eastAsia"/>
          <w:color w:val="000000"/>
          <w:lang w:val="en-US"/>
        </w:rPr>
        <w:t xml:space="preserve">纳入国家和省级规划</w:t>
      </w:r>
      <w:r>
        <w:rPr>
          <w:rFonts w:hint="eastAsia"/>
          <w:color w:val="000000"/>
        </w:rPr>
        <w:t xml:space="preserve">，进一步优化以高速铁路、普通铁路为主体，以高速公路、国省干线、县乡公路为支撑的交通路网，构建更加便捷、安全、经济、高效的综合交通运输体系。</w:t>
      </w:r>
      <w:r>
        <w:rPr>
          <w:rFonts w:hint="eastAsia"/>
          <w:color w:val="000000"/>
        </w:rPr>
      </w:r>
      <w:r>
        <w:rPr>
          <w:rFonts w:hint="eastAsia"/>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推动产业发展协同合作</w:t>
      </w:r>
      <w:r>
        <w:rPr>
          <w:rFonts w:hint="eastAsia" w:cs="仿宋_GB2312"/>
          <w:b/>
          <w:bCs/>
          <w:color w:val="000000"/>
        </w:rPr>
        <w:t xml:space="preserve">。</w:t>
      </w:r>
      <w:r>
        <w:rPr>
          <w:rFonts w:hint="eastAsia" w:cs="仿宋_GB2312"/>
          <w:color w:val="000000"/>
        </w:rPr>
        <w:t xml:space="preserve">加强与武汉、襄阳、十堰在汽车制造、地铁装备、食品加工、文化旅游等领域合作，打造全省产业协作样板区。</w:t>
      </w:r>
      <w:r>
        <w:rPr>
          <w:rFonts w:hint="eastAsia" w:cs="仿宋_GB2312"/>
          <w:color w:val="000000"/>
        </w:rPr>
      </w:r>
      <w:r>
        <w:rPr>
          <w:rFonts w:hint="eastAsia" w:cs="仿宋_GB2312"/>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推动生态环境共保联治</w:t>
      </w:r>
      <w:r>
        <w:rPr>
          <w:rFonts w:hint="eastAsia" w:cs="仿宋_GB2312"/>
          <w:b/>
          <w:bCs/>
          <w:color w:val="000000"/>
        </w:rPr>
        <w:t xml:space="preserve">。</w:t>
      </w:r>
      <w:r>
        <w:rPr>
          <w:rFonts w:hint="eastAsia" w:cs="仿宋_GB2312"/>
          <w:color w:val="000000"/>
        </w:rPr>
        <w:t xml:space="preserve">加强汉江流域生态建设和环境保护合作，积极开展鄂北水资源配置二期工程建设和府澴河流域水环境综合治理，加强联防联治，共享监测数据，建立环境污染事故应急联动机制，共同打造生态安全屏障。</w:t>
      </w:r>
      <w:r>
        <w:rPr>
          <w:rFonts w:hint="eastAsia" w:cs="仿宋_GB2312"/>
          <w:color w:val="000000"/>
        </w:rPr>
      </w:r>
      <w:r>
        <w:rPr>
          <w:rFonts w:hint="eastAsia" w:cs="仿宋_GB2312"/>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推动公共服务共建共享</w:t>
      </w:r>
      <w:r>
        <w:rPr>
          <w:rFonts w:hint="eastAsia" w:cs="仿宋_GB2312"/>
          <w:b/>
          <w:bCs/>
          <w:color w:val="000000"/>
        </w:rPr>
        <w:t xml:space="preserve">。</w:t>
      </w:r>
      <w:r>
        <w:rPr>
          <w:rFonts w:hint="eastAsia" w:cs="仿宋_GB2312"/>
          <w:color w:val="000000"/>
        </w:rPr>
        <w:t xml:space="preserve">完善教育、卫生等领域交流合作机制，促进武汉市优质教育、医疗资源向随州延伸，建设互联互通的卫生信息平台，实现公共卫生、医疗服务和重大疫情等方面的信息资源互通共享。</w:t>
      </w:r>
      <w:r>
        <w:rPr>
          <w:rFonts w:hint="eastAsia" w:cs="仿宋_GB2312"/>
          <w:color w:val="000000"/>
        </w:rPr>
      </w:r>
      <w:r>
        <w:rPr>
          <w:rFonts w:hint="eastAsia" w:cs="仿宋_GB2312"/>
          <w:color w:val="000000"/>
        </w:rPr>
      </w:r>
    </w:p>
    <w:p>
      <w:pPr>
        <w:pStyle w:val="737"/>
        <w:pBdr/>
        <w:spacing/>
        <w:ind w:firstLine="643"/>
        <w:rPr>
          <w:rFonts w:hint="eastAsia"/>
          <w:color w:val="000000"/>
        </w:rPr>
      </w:pPr>
      <w:r>
        <w:rPr>
          <w:rFonts w:hint="eastAsia" w:ascii="楷体_GB2312" w:hAnsi="楷体_GB2312" w:eastAsia="楷体_GB2312" w:cs="楷体_GB2312"/>
          <w:b/>
          <w:bCs/>
          <w:color w:val="000000"/>
        </w:rPr>
        <w:t xml:space="preserve">推动开放合作携手共赢</w:t>
      </w:r>
      <w:r>
        <w:rPr>
          <w:rFonts w:hint="eastAsia"/>
          <w:b/>
          <w:bCs/>
          <w:color w:val="000000"/>
        </w:rPr>
        <w:t xml:space="preserve">。</w:t>
      </w:r>
      <w:r>
        <w:rPr>
          <w:rFonts w:hint="eastAsia"/>
          <w:color w:val="000000"/>
        </w:rPr>
        <w:t xml:space="preserve">积极谋划对接汉襄的合作领域，通过创新“飞地经济”、汉襄离岸产业中心等措施，积极探索“研发在汉襄、生产在随州”“总部在汉襄、分厂在随州”的合作模式，带动提升随州产业基础高级化、产业链现代化水平。</w:t>
      </w:r>
      <w:r>
        <w:rPr>
          <w:rFonts w:hint="eastAsia"/>
          <w:color w:val="000000"/>
        </w:rPr>
      </w:r>
      <w:r>
        <w:rPr>
          <w:rFonts w:hint="eastAsia"/>
          <w:color w:val="000000"/>
        </w:rPr>
      </w:r>
    </w:p>
    <w:p>
      <w:pPr>
        <w:pStyle w:val="737"/>
        <w:pBdr/>
        <w:spacing/>
        <w:ind w:firstLine="640"/>
        <w:rPr>
          <w:rFonts w:hint="eastAsia"/>
          <w:color w:val="000000"/>
        </w:rPr>
      </w:pPr>
      <w:r>
        <w:rPr>
          <w:rFonts w:hint="eastAsia"/>
          <w:color w:val="000000"/>
        </w:rPr>
      </w:r>
      <w:r>
        <w:rPr>
          <w:rFonts w:hint="eastAsia"/>
          <w:color w:val="000000"/>
        </w:rPr>
      </w:r>
    </w:p>
    <w:p>
      <w:pPr>
        <w:pStyle w:val="739"/>
        <w:pBdr/>
        <w:spacing/>
        <w:ind w:firstLine="720"/>
        <w:rPr>
          <w:rFonts w:hint="eastAsia" w:ascii="黑体" w:hAnsi="黑体" w:eastAsia="黑体" w:cs="黑体"/>
          <w:b w:val="0"/>
          <w:bCs w:val="0"/>
          <w:color w:val="000000"/>
        </w:rPr>
      </w:pPr>
      <w:r/>
      <w:bookmarkStart w:id="50" w:name="_Toc9755"/>
      <w:r>
        <w:rPr>
          <w:rFonts w:hint="eastAsia" w:ascii="黑体" w:hAnsi="黑体" w:eastAsia="黑体" w:cs="黑体"/>
          <w:b w:val="0"/>
          <w:bCs w:val="0"/>
          <w:color w:val="000000"/>
        </w:rPr>
        <w:t xml:space="preserve">二、打造“融通鄂豫”重要枢纽</w:t>
      </w:r>
      <w:bookmarkEnd w:id="50"/>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rFonts w:hint="eastAsia" w:cs="仿宋_GB2312"/>
          <w:color w:val="000000"/>
        </w:rPr>
      </w:pPr>
      <w:r>
        <w:rPr>
          <w:rFonts w:hint="eastAsia" w:cs="仿宋_GB2312"/>
          <w:color w:val="000000"/>
        </w:rPr>
        <w:t xml:space="preserve">深化与毗邻的荆门市、孝感市、黄冈市及河南省南阳市、信阳市等城市的联动发展，推动旅游资源整合，实现交通互联、产业互补、文化互融、商贸互通、生态互建，努力建设联结长江中游城市群和中原城市群的重要枢纽。</w:t>
      </w:r>
      <w:r>
        <w:rPr>
          <w:rFonts w:hint="eastAsia" w:cs="仿宋_GB2312"/>
          <w:color w:val="000000"/>
        </w:rPr>
      </w:r>
      <w:r>
        <w:rPr>
          <w:rFonts w:hint="eastAsia" w:cs="仿宋_GB2312"/>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推进战略统筹</w:t>
      </w:r>
      <w:r>
        <w:rPr>
          <w:rFonts w:hint="eastAsia" w:cs="仿宋_GB2312"/>
          <w:b/>
          <w:bCs/>
          <w:color w:val="000000"/>
        </w:rPr>
        <w:t xml:space="preserve">。</w:t>
      </w:r>
      <w:r>
        <w:rPr>
          <w:rFonts w:hint="eastAsia" w:cs="仿宋_GB2312"/>
          <w:color w:val="000000"/>
        </w:rPr>
        <w:t xml:space="preserve">加强与淮河生态经济带建设、大别山革命老区振兴发展等国家战略及大洪山资源整合的谋划对接工作，在经济社会发展规划、国土空间利用规划、重点领域专项规划等方面建立健全沟通对接机制，形成基础设施、产业发展、生态环保和城市建设一体设计、一体发展的格局，为共同争取国家和两省更多的政策、资金和项目支持奠定基础。</w:t>
      </w:r>
      <w:r>
        <w:rPr>
          <w:rFonts w:hint="eastAsia" w:cs="仿宋_GB2312"/>
          <w:color w:val="000000"/>
        </w:rPr>
      </w:r>
      <w:r>
        <w:rPr>
          <w:rFonts w:hint="eastAsia" w:cs="仿宋_GB2312"/>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推进基础设施建设</w:t>
      </w:r>
      <w:r>
        <w:rPr>
          <w:rFonts w:hint="eastAsia" w:cs="仿宋_GB2312"/>
          <w:b/>
          <w:bCs/>
          <w:color w:val="000000"/>
        </w:rPr>
        <w:t xml:space="preserve">。</w:t>
      </w:r>
      <w:r>
        <w:rPr>
          <w:rFonts w:hint="eastAsia" w:cs="仿宋_GB2312"/>
          <w:color w:val="000000"/>
        </w:rPr>
        <w:t xml:space="preserve">加快推进相邻区域间的基础设施互联互通，共同促进公路、铁路、水利、能源等基础设施建设，实现基础设施建设一体化发展。共同谋划高速铁路、高速公路、能源水利项目，争取</w:t>
      </w:r>
      <w:r>
        <w:rPr>
          <w:rFonts w:hint="eastAsia" w:cs="仿宋_GB2312"/>
          <w:color w:val="000000"/>
          <w:lang w:val="en-US"/>
        </w:rPr>
        <w:t xml:space="preserve">纳入国家和两省规划。</w:t>
      </w:r>
      <w:r>
        <w:rPr>
          <w:rFonts w:hint="eastAsia" w:cs="仿宋_GB2312"/>
          <w:color w:val="000000"/>
        </w:rPr>
      </w:r>
      <w:r>
        <w:rPr>
          <w:rFonts w:hint="eastAsia" w:cs="仿宋_GB2312"/>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推进产业协作配套</w:t>
      </w:r>
      <w:r>
        <w:rPr>
          <w:rFonts w:hint="eastAsia" w:cs="仿宋_GB2312"/>
          <w:b/>
          <w:bCs/>
          <w:color w:val="000000"/>
        </w:rPr>
        <w:t xml:space="preserve">。</w:t>
      </w:r>
      <w:r>
        <w:rPr>
          <w:rFonts w:hint="eastAsia" w:cs="仿宋_GB2312"/>
          <w:color w:val="000000"/>
        </w:rPr>
        <w:t xml:space="preserve">积极推动开展产业合作与交流，鼓励支持组团开展招商引资，开展跨区域合作投资，共同推进旅游资源区域整合，建立互为旅游客源地和目的地的联动机制和共享机制，打造无障碍“一票制”旅游区，形成统一的旅游品牌，联合打造鄂北豫南跨省域生态旅游合作示范区。</w:t>
      </w:r>
      <w:r>
        <w:rPr>
          <w:rFonts w:hint="eastAsia" w:cs="仿宋_GB2312"/>
          <w:color w:val="000000"/>
        </w:rPr>
      </w:r>
      <w:r>
        <w:rPr>
          <w:rFonts w:hint="eastAsia" w:cs="仿宋_GB2312"/>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推进商贸流通融合发展</w:t>
      </w:r>
      <w:r>
        <w:rPr>
          <w:rFonts w:hint="eastAsia" w:cs="仿宋_GB2312"/>
          <w:b/>
          <w:bCs/>
          <w:color w:val="000000"/>
        </w:rPr>
        <w:t xml:space="preserve">。</w:t>
      </w:r>
      <w:r>
        <w:rPr>
          <w:rFonts w:hint="eastAsia" w:cs="仿宋_GB2312"/>
          <w:color w:val="000000"/>
        </w:rPr>
        <w:t xml:space="preserve">加快推进各地人流、物流、信息流“同城化”建设，营造无差别的政策环境和市场环境，鼓励支持商贸流通企业互相在对方发展连锁经营、特色农副产品互相进入对方市场超市、优势企业在对方市场拓展电子商务业务，促进物流业资源整合，打造统一、开放、有序的鄂北豫南区域性大市场。</w:t>
      </w:r>
      <w:r>
        <w:rPr>
          <w:rFonts w:hint="eastAsia" w:cs="仿宋_GB2312"/>
          <w:color w:val="000000"/>
        </w:rPr>
      </w:r>
      <w:r>
        <w:rPr>
          <w:rFonts w:hint="eastAsia" w:cs="仿宋_GB2312"/>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推进社会事业深度融合</w:t>
      </w:r>
      <w:r>
        <w:rPr>
          <w:rFonts w:hint="eastAsia" w:cs="仿宋_GB2312"/>
          <w:b/>
          <w:bCs/>
          <w:color w:val="000000"/>
        </w:rPr>
        <w:t xml:space="preserve">。</w:t>
      </w:r>
      <w:r>
        <w:rPr>
          <w:rFonts w:hint="eastAsia" w:cs="仿宋_GB2312"/>
          <w:color w:val="000000"/>
        </w:rPr>
        <w:t xml:space="preserve">共同推进教育、文化、卫生、体育等公共服务领域全方位交流合作，支持实现教育资源、卫生资源、文化资源和科技资源共享。</w:t>
      </w:r>
      <w:r>
        <w:rPr>
          <w:rFonts w:hint="eastAsia" w:cs="仿宋_GB2312"/>
          <w:color w:val="000000"/>
        </w:rPr>
      </w:r>
      <w:r>
        <w:rPr>
          <w:rFonts w:hint="eastAsia" w:cs="仿宋_GB2312"/>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推进生态环保共建</w:t>
      </w:r>
      <w:r>
        <w:rPr>
          <w:rFonts w:hint="eastAsia" w:cs="仿宋_GB2312"/>
          <w:b/>
          <w:bCs/>
          <w:color w:val="000000"/>
        </w:rPr>
        <w:t xml:space="preserve">。</w:t>
      </w:r>
      <w:r>
        <w:rPr>
          <w:rFonts w:hint="eastAsia" w:cs="仿宋_GB2312"/>
          <w:color w:val="000000"/>
        </w:rPr>
        <w:t xml:space="preserve">建立生态环保联动机制，禁止破坏生态环境的项目落地，共同加强水源地保护，共同推进农村垃圾分类处理，共同推广清洁能源利用，共同争取国家对淮河生态经济带、大别山革命老区退耕还林、生态公益林和天然林保护、森林防火、水生态治理、水土保持、自然保护区建设和主要流域水污染防治等政策、项目和资金支持，共同推动生态环保重点项目建设。</w:t>
      </w:r>
      <w:r>
        <w:rPr>
          <w:rFonts w:hint="eastAsia" w:cs="仿宋_GB2312"/>
          <w:color w:val="000000"/>
        </w:rPr>
      </w:r>
      <w:r>
        <w:rPr>
          <w:rFonts w:hint="eastAsia" w:cs="仿宋_GB2312"/>
          <w:color w:val="000000"/>
        </w:rPr>
      </w:r>
    </w:p>
    <w:p>
      <w:pPr>
        <w:pStyle w:val="737"/>
        <w:pBdr/>
        <w:spacing/>
        <w:ind w:firstLine="640"/>
        <w:rPr>
          <w:rFonts w:hint="eastAsia" w:cs="仿宋_GB2312"/>
          <w:color w:val="000000"/>
        </w:rPr>
      </w:pPr>
      <w:r>
        <w:rPr>
          <w:rFonts w:hint="eastAsia" w:cs="仿宋_GB2312"/>
          <w:color w:val="000000"/>
        </w:rPr>
      </w:r>
      <w:r>
        <w:rPr>
          <w:rFonts w:hint="eastAsia" w:cs="仿宋_GB2312"/>
          <w:color w:val="000000"/>
        </w:rPr>
      </w:r>
    </w:p>
    <w:p>
      <w:pPr>
        <w:pStyle w:val="739"/>
        <w:pBdr/>
        <w:spacing/>
        <w:ind w:firstLine="720"/>
        <w:rPr>
          <w:rFonts w:hint="eastAsia" w:ascii="黑体" w:hAnsi="黑体" w:eastAsia="黑体" w:cs="黑体"/>
          <w:b w:val="0"/>
          <w:bCs w:val="0"/>
          <w:color w:val="000000"/>
        </w:rPr>
      </w:pPr>
      <w:r/>
      <w:bookmarkStart w:id="51" w:name="_Toc22287"/>
      <w:r>
        <w:rPr>
          <w:rFonts w:hint="eastAsia" w:ascii="黑体" w:hAnsi="黑体" w:eastAsia="黑体" w:cs="黑体"/>
          <w:b w:val="0"/>
          <w:bCs w:val="0"/>
          <w:color w:val="000000"/>
        </w:rPr>
        <w:t xml:space="preserve">三、构筑“众星拱月”发展矩阵</w:t>
      </w:r>
      <w:bookmarkEnd w:id="51"/>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rFonts w:hint="eastAsia" w:cs="仿宋_GB2312"/>
          <w:color w:val="000000"/>
        </w:rPr>
      </w:pPr>
      <w:r>
        <w:rPr>
          <w:rFonts w:hint="eastAsia" w:hAnsi="仿宋" w:cs="仿宋"/>
          <w:color w:val="000000"/>
          <w:lang w:eastAsia="zh-CN"/>
        </w:rPr>
        <w:t xml:space="preserve">推动</w:t>
      </w:r>
      <w:r>
        <w:rPr>
          <w:rFonts w:hint="eastAsia" w:hAnsi="仿宋" w:cs="仿宋"/>
          <w:color w:val="000000"/>
        </w:rPr>
        <w:t xml:space="preserve">强县、壮镇</w:t>
      </w:r>
      <w:r>
        <w:rPr>
          <w:rFonts w:hint="eastAsia" w:hAnsi="仿宋" w:cs="仿宋"/>
          <w:color w:val="000000"/>
          <w:lang w:eastAsia="zh-CN"/>
        </w:rPr>
        <w:t xml:space="preserve">，打造</w:t>
      </w:r>
      <w:r>
        <w:rPr>
          <w:rFonts w:hint="eastAsia" w:hAnsi="仿宋" w:cs="仿宋"/>
          <w:color w:val="000000"/>
        </w:rPr>
        <w:t xml:space="preserve">以点带面、块状组团</w:t>
      </w:r>
      <w:r>
        <w:rPr>
          <w:rFonts w:hint="eastAsia" w:hAnsi="仿宋" w:cs="仿宋"/>
          <w:color w:val="000000"/>
          <w:lang w:eastAsia="zh-CN"/>
        </w:rPr>
        <w:t xml:space="preserve">发展格局。</w:t>
      </w:r>
      <w:r>
        <w:rPr>
          <w:rFonts w:hint="eastAsia" w:hAnsi="仿宋" w:cs="仿宋"/>
          <w:color w:val="000000"/>
        </w:rPr>
        <w:t xml:space="preserve">支持各地发挥比较优势竞相发展，</w:t>
      </w:r>
      <w:r>
        <w:rPr>
          <w:rFonts w:hint="eastAsia" w:hAnsi="仿宋" w:cs="仿宋"/>
          <w:color w:val="000000"/>
          <w:lang w:val="en-US"/>
        </w:rPr>
        <w:t xml:space="preserve">实现</w:t>
      </w:r>
      <w:r>
        <w:rPr>
          <w:rFonts w:hint="eastAsia" w:hAnsi="仿宋" w:cs="仿宋"/>
          <w:color w:val="000000"/>
        </w:rPr>
        <w:t xml:space="preserve">县域经济强势崛起、镇域经济多点发力，培育更多</w:t>
      </w:r>
      <w:r>
        <w:rPr>
          <w:rFonts w:hint="eastAsia" w:hAnsi="仿宋" w:cs="仿宋"/>
          <w:color w:val="000000"/>
          <w:lang w:val="en-US"/>
        </w:rPr>
        <w:t xml:space="preserve">拱卫</w:t>
      </w:r>
      <w:r>
        <w:rPr>
          <w:rFonts w:hint="eastAsia" w:hAnsi="仿宋" w:cs="仿宋"/>
          <w:color w:val="000000"/>
        </w:rPr>
        <w:t xml:space="preserve">全市高质量发展的新增长点。</w:t>
      </w:r>
      <w:r>
        <w:rPr>
          <w:rFonts w:hint="eastAsia" w:cs="仿宋_GB2312"/>
          <w:color w:val="000000"/>
        </w:rPr>
      </w:r>
      <w:r>
        <w:rPr>
          <w:rFonts w:hint="eastAsia" w:cs="仿宋_GB2312"/>
          <w:color w:val="000000"/>
        </w:rPr>
      </w:r>
    </w:p>
    <w:p>
      <w:pPr>
        <w:pStyle w:val="737"/>
        <w:pBdr/>
        <w:spacing/>
        <w:ind w:firstLine="643"/>
        <w:rPr>
          <w:rFonts w:cs="仿宋_GB2312"/>
          <w:color w:val="000000"/>
          <w:lang w:val="en-US"/>
        </w:rPr>
      </w:pPr>
      <w:r>
        <w:rPr>
          <w:rFonts w:hint="eastAsia" w:ascii="楷体_GB2312" w:hAnsi="楷体_GB2312" w:eastAsia="楷体_GB2312" w:cs="楷体_GB2312"/>
          <w:b/>
          <w:bCs/>
          <w:color w:val="000000"/>
        </w:rPr>
        <w:t xml:space="preserve">支持县市区“争百强”</w:t>
      </w:r>
      <w:r>
        <w:rPr>
          <w:rFonts w:hint="eastAsia" w:cs="仿宋_GB2312"/>
          <w:b/>
          <w:bCs/>
          <w:color w:val="000000"/>
        </w:rPr>
        <w:t xml:space="preserve">。</w:t>
      </w:r>
      <w:r>
        <w:rPr>
          <w:rFonts w:hint="eastAsia" w:cs="仿宋_GB2312"/>
          <w:color w:val="000000"/>
        </w:rPr>
        <w:t xml:space="preserve">支持曾都区、随县和广水市依托特色资源和产业基础，聚</w:t>
      </w:r>
      <w:r>
        <w:rPr>
          <w:rFonts w:hint="eastAsia" w:cs="仿宋_GB2312"/>
          <w:color w:val="000000"/>
          <w:lang w:eastAsia="zh-CN"/>
        </w:rPr>
        <w:t xml:space="preserve">焦</w:t>
      </w:r>
      <w:r>
        <w:rPr>
          <w:rFonts w:hint="eastAsia" w:cs="仿宋_GB2312"/>
          <w:color w:val="000000"/>
        </w:rPr>
        <w:t xml:space="preserve">农业产业化和先进制造业，因地制宜推进“</w:t>
      </w:r>
      <w:r>
        <w:rPr>
          <w:rFonts w:hint="eastAsia" w:cs="仿宋_GB2312"/>
          <w:color w:val="000000"/>
          <w:lang w:val="en-US"/>
        </w:rPr>
        <w:t xml:space="preserve">一县一品、一业一链</w:t>
      </w:r>
      <w:r>
        <w:rPr>
          <w:rFonts w:hint="eastAsia" w:cs="仿宋_GB2312"/>
          <w:color w:val="000000"/>
        </w:rPr>
        <w:t xml:space="preserve">”，形成一批特色鲜明、集中度高、关联</w:t>
      </w:r>
      <w:r>
        <w:rPr>
          <w:rFonts w:hint="eastAsia" w:cs="仿宋_GB2312"/>
          <w:color w:val="000000"/>
          <w:lang w:val="en-US"/>
        </w:rPr>
        <w:t xml:space="preserve">性强</w:t>
      </w:r>
      <w:r>
        <w:rPr>
          <w:rFonts w:hint="eastAsia" w:cs="仿宋_GB2312"/>
          <w:color w:val="000000"/>
          <w:lang w:val="en-US" w:eastAsia="zh-CN"/>
        </w:rPr>
        <w:t xml:space="preserve">，具有</w:t>
      </w:r>
      <w:r>
        <w:rPr>
          <w:rFonts w:hint="eastAsia" w:cs="仿宋_GB2312"/>
          <w:color w:val="000000"/>
          <w:lang w:val="en-US"/>
        </w:rPr>
        <w:t xml:space="preserve">竞争力的块状产业集群。支持曾都区对标百强县，</w:t>
      </w:r>
      <w:r>
        <w:rPr>
          <w:rFonts w:hint="eastAsia"/>
          <w:color w:val="000000"/>
        </w:rPr>
        <w:t xml:space="preserve">重点发展壮大专用汽车、农产品加工、应急产业、文化旅游、纺织服饰、印刷产业等支柱产业，建</w:t>
      </w:r>
      <w:r>
        <w:rPr>
          <w:rFonts w:hint="eastAsia" w:cs="宋体"/>
          <w:color w:val="000000"/>
        </w:rPr>
        <w:t xml:space="preserve">设专汽之都核心区、</w:t>
      </w:r>
      <w:r>
        <w:rPr>
          <w:rFonts w:cs="宋体"/>
          <w:color w:val="000000"/>
        </w:rPr>
        <w:t xml:space="preserve">现代农港</w:t>
      </w:r>
      <w:r>
        <w:rPr>
          <w:rFonts w:hint="eastAsia" w:cs="宋体"/>
          <w:color w:val="000000"/>
        </w:rPr>
        <w:t xml:space="preserve">引领区、城乡融合样板区、社会治理示范区，打造“活力曾都、魅力名城”</w:t>
      </w:r>
      <w:r>
        <w:rPr>
          <w:rFonts w:hint="eastAsia" w:cs="仿宋_GB2312"/>
          <w:color w:val="000000"/>
          <w:lang w:val="en-US"/>
        </w:rPr>
        <w:t xml:space="preserve">，</w:t>
      </w:r>
      <w:r>
        <w:rPr>
          <w:rFonts w:hint="eastAsia" w:cs="宋体"/>
          <w:color w:val="000000"/>
        </w:rPr>
        <w:t xml:space="preserve">县域经济发展质效走在全省前列。支持</w:t>
      </w:r>
      <w:r>
        <w:rPr>
          <w:rFonts w:hint="eastAsia" w:cs="仿宋_GB2312"/>
          <w:color w:val="000000"/>
        </w:rPr>
        <w:t xml:space="preserve">广水市</w:t>
      </w:r>
      <w:r>
        <w:rPr>
          <w:rFonts w:hint="eastAsia" w:cs="仿宋_GB2312"/>
          <w:color w:val="000000"/>
          <w:lang w:val="en-US"/>
        </w:rPr>
        <w:t xml:space="preserve">向百强县冲刺，</w:t>
      </w:r>
      <w:r>
        <w:rPr>
          <w:rFonts w:hint="eastAsia" w:cs="仿宋_GB2312"/>
          <w:color w:val="000000"/>
        </w:rPr>
        <w:t xml:space="preserve">培育壮大风机制造、智能装备、地铁装备、造纸包装、新型建材、钢铁冶金、生态旅游等支柱产业，建设风机名城、现代农谷、文旅胜地，打造现代化中等宜居新城。支持</w:t>
      </w:r>
      <w:r>
        <w:rPr>
          <w:rFonts w:hint="eastAsia" w:cs="仿宋_GB2312"/>
          <w:color w:val="000000"/>
          <w:lang w:val="en-US"/>
        </w:rPr>
        <w:t xml:space="preserve">随县进入百强储备县</w:t>
      </w:r>
      <w:r>
        <w:rPr>
          <w:rFonts w:hint="eastAsia" w:cs="仿宋_GB2312"/>
          <w:color w:val="000000"/>
        </w:rPr>
        <w:t xml:space="preserve">，大力发展农产品加工、生物医药、新能源、石材、文化旅游等支柱产业，建设世界华人谒祖圣地、全国生态康养宜居福地、全国农村一二三产业融合发展先导区、全省乡村振兴样板区、全省高质量发展示范区，创建生态园林县城，打造初具规模的现代田园小城市和“武汉后花园”。支持随州高新区对标先进地区国家高新技术产业开发区，</w:t>
      </w:r>
      <w:r>
        <w:rPr>
          <w:rFonts w:hint="eastAsia"/>
          <w:color w:val="000000"/>
        </w:rPr>
        <w:t xml:space="preserve">发展壮大专汽及汽车零部件、医药化工、食品和农产品加工等支柱产业，培育打造新能源汽车、电子信息、化工新材料等战略性新兴产业，建设国内一流的电子信息产业基地、中部地区重要的精细化工产业基地、全国特色食品加工产业基地、全市数字经济融合示范基地、绿色能源示范基地。支持大洪山风景名胜区发展全域旅游，建设国家生态旅游示范区、华中地区避暑度假目的地。</w:t>
      </w:r>
      <w:r>
        <w:rPr>
          <w:rFonts w:cs="仿宋_GB2312"/>
          <w:color w:val="000000"/>
          <w:lang w:val="en-US"/>
        </w:rPr>
      </w:r>
      <w:r>
        <w:rPr>
          <w:rFonts w:cs="仿宋_GB2312"/>
          <w:color w:val="000000"/>
          <w:lang w:val="en-US"/>
        </w:rPr>
      </w:r>
    </w:p>
    <w:p>
      <w:pPr>
        <w:pStyle w:val="737"/>
        <w:pBdr/>
        <w:spacing w:line="580" w:lineRule="exact"/>
        <w:ind w:firstLine="643"/>
        <w:rPr>
          <w:rFonts w:cs="仿宋_GB2312"/>
          <w:color w:val="000000"/>
        </w:rPr>
      </w:pPr>
      <w:r>
        <w:rPr>
          <w:rFonts w:hint="eastAsia" w:ascii="楷体_GB2312" w:hAnsi="楷体_GB2312" w:eastAsia="楷体_GB2312" w:cs="楷体_GB2312"/>
          <w:b/>
          <w:bCs/>
          <w:color w:val="000000"/>
        </w:rPr>
        <w:t xml:space="preserve">培育镇域“小老虎”</w:t>
      </w:r>
      <w:r>
        <w:rPr>
          <w:rFonts w:hint="eastAsia" w:cs="仿宋_GB2312"/>
          <w:b/>
          <w:bCs/>
          <w:color w:val="000000"/>
        </w:rPr>
        <w:t xml:space="preserve">。</w:t>
      </w:r>
      <w:r>
        <w:rPr>
          <w:rFonts w:hint="eastAsia" w:hAnsi="仿宋" w:cs="仿宋"/>
          <w:color w:val="000000"/>
        </w:rPr>
        <w:t xml:space="preserve">支持各街镇找准特色、凸显特色、放大特色，培育形成适合本镇发展的主导产业。</w:t>
      </w:r>
      <w:r>
        <w:rPr>
          <w:rFonts w:hint="eastAsia" w:cs="仿宋_GB2312"/>
          <w:color w:val="000000"/>
        </w:rPr>
        <w:t xml:space="preserve">依托曾都区洛阳镇、何店镇，随州高新区淅河镇，随县洪山镇、三里岗镇、均川镇、唐县镇、万和镇、殷店镇，广水市吴店镇、长岭镇、陈巷镇、杨寨镇、郝店镇、武胜关镇，大洪山长岗镇等重点镇，</w:t>
      </w:r>
      <w:r>
        <w:rPr>
          <w:rFonts w:hint="eastAsia" w:hAnsi="仿宋" w:cs="仿宋"/>
          <w:color w:val="000000"/>
        </w:rPr>
        <w:t xml:space="preserve">打造一批“产业特而强、功能聚而合、形态小而美、机制新而活”的“玲珑小市”。</w:t>
      </w:r>
      <w:r>
        <w:rPr>
          <w:rFonts w:hint="eastAsia" w:cs="仿宋_GB2312"/>
          <w:color w:val="000000"/>
        </w:rPr>
        <w:t xml:space="preserve">支持大洪山长岗镇创建国家特色小城镇，广水市</w:t>
      </w:r>
      <w:r>
        <w:rPr>
          <w:rFonts w:hint="eastAsia" w:hAnsi="仿宋" w:cs="仿宋"/>
          <w:color w:val="000000"/>
          <w:lang w:val="en-US"/>
        </w:rPr>
        <w:t xml:space="preserve">应办多肉艺术小镇、</w:t>
      </w:r>
      <w:r>
        <w:rPr>
          <w:rFonts w:hint="eastAsia" w:cs="仿宋_GB2312"/>
          <w:color w:val="000000"/>
        </w:rPr>
        <w:t xml:space="preserve">郝店迷彩飞客小镇创建省级特色小镇，培育洛阳古银杏小镇、洪山温泉小镇、淮河源特色小镇、三里岗吉祥寺香菇小镇、马坪美食小镇、太平吉阳大蒜小镇、余店三白蔬菜小镇、</w:t>
      </w:r>
      <w:r>
        <w:rPr>
          <w:rFonts w:hint="eastAsia" w:hAnsi="仿宋" w:cs="仿宋"/>
          <w:color w:val="000000"/>
          <w:lang w:val="en-US"/>
        </w:rPr>
        <w:t xml:space="preserve">长岭水上旅游小镇、武胜关名关小镇</w:t>
      </w:r>
      <w:r>
        <w:rPr>
          <w:rFonts w:hint="eastAsia" w:cs="仿宋_GB2312"/>
          <w:color w:val="000000"/>
        </w:rPr>
        <w:t xml:space="preserve">等一批特色小镇。</w:t>
      </w:r>
      <w:r>
        <w:rPr>
          <w:rFonts w:cs="仿宋_GB2312"/>
          <w:color w:val="000000"/>
        </w:rPr>
      </w:r>
      <w:r>
        <w:rPr>
          <w:rFonts w:cs="仿宋_GB2312"/>
          <w:color w:val="000000"/>
        </w:rPr>
      </w:r>
    </w:p>
    <w:p>
      <w:pPr>
        <w:pStyle w:val="738"/>
        <w:pBdr/>
        <w:spacing/>
        <w:ind/>
        <w:rPr>
          <w:rFonts w:hint="eastAsia" w:eastAsia="方正小标宋简体"/>
          <w:b w:val="0"/>
          <w:bCs w:val="0"/>
          <w:color w:val="000000"/>
          <w:sz w:val="36"/>
          <w:szCs w:val="36"/>
        </w:rPr>
      </w:pPr>
      <w:r>
        <w:rPr>
          <w:rFonts w:hint="eastAsia" w:eastAsia="方正小标宋简体"/>
          <w:b w:val="0"/>
          <w:bCs w:val="0"/>
          <w:color w:val="000000"/>
          <w:sz w:val="36"/>
          <w:szCs w:val="36"/>
        </w:rPr>
      </w:r>
      <w:r>
        <w:rPr>
          <w:rFonts w:hint="eastAsia" w:eastAsia="方正小标宋简体"/>
          <w:b w:val="0"/>
          <w:bCs w:val="0"/>
          <w:color w:val="000000"/>
          <w:sz w:val="36"/>
          <w:szCs w:val="36"/>
        </w:rPr>
      </w:r>
    </w:p>
    <w:p>
      <w:pPr>
        <w:pStyle w:val="738"/>
        <w:pBdr/>
        <w:spacing/>
        <w:ind/>
        <w:rPr>
          <w:rFonts w:hint="eastAsia" w:eastAsia="方正小标宋简体"/>
          <w:b w:val="0"/>
          <w:bCs w:val="0"/>
          <w:color w:val="000000"/>
          <w:sz w:val="36"/>
          <w:szCs w:val="36"/>
        </w:rPr>
      </w:pPr>
      <w:r>
        <w:rPr>
          <w:rFonts w:hint="eastAsia" w:eastAsia="方正小标宋简体"/>
          <w:b w:val="0"/>
          <w:bCs w:val="0"/>
          <w:color w:val="000000"/>
          <w:sz w:val="36"/>
          <w:szCs w:val="36"/>
        </w:rPr>
      </w:r>
      <w:r>
        <w:rPr>
          <w:rFonts w:hint="eastAsia" w:eastAsia="方正小标宋简体"/>
          <w:b w:val="0"/>
          <w:bCs w:val="0"/>
          <w:color w:val="000000"/>
          <w:sz w:val="36"/>
          <w:szCs w:val="36"/>
        </w:rPr>
      </w:r>
    </w:p>
    <w:p>
      <w:pPr>
        <w:pStyle w:val="737"/>
        <w:pBdr/>
        <w:spacing/>
        <w:ind w:firstLine="723"/>
        <w:rPr>
          <w:rFonts w:hint="eastAsia" w:eastAsia="方正小标宋简体"/>
          <w:b/>
          <w:bCs/>
          <w:color w:val="000000"/>
          <w:sz w:val="36"/>
          <w:szCs w:val="36"/>
        </w:rPr>
      </w:pPr>
      <w:r>
        <w:rPr>
          <w:rFonts w:hint="eastAsia" w:eastAsia="方正小标宋简体"/>
          <w:b/>
          <w:bCs/>
          <w:color w:val="000000"/>
          <w:sz w:val="36"/>
          <w:szCs w:val="36"/>
        </w:rPr>
      </w:r>
      <w:r>
        <w:rPr>
          <w:rFonts w:hint="eastAsia" w:eastAsia="方正小标宋简体"/>
          <w:b/>
          <w:bCs/>
          <w:color w:val="000000"/>
          <w:sz w:val="36"/>
          <w:szCs w:val="36"/>
        </w:rPr>
      </w:r>
    </w:p>
    <w:p>
      <w:pPr>
        <w:pStyle w:val="745"/>
        <w:pBdr/>
        <w:spacing/>
        <w:ind w:firstLine="723" w:left="640"/>
        <w:rPr>
          <w:rFonts w:hint="eastAsia" w:eastAsia="方正小标宋简体"/>
          <w:b/>
          <w:bCs/>
          <w:color w:val="000000"/>
          <w:sz w:val="36"/>
          <w:szCs w:val="36"/>
        </w:rPr>
      </w:pPr>
      <w:r>
        <w:rPr>
          <w:rFonts w:hint="eastAsia" w:eastAsia="方正小标宋简体"/>
          <w:b/>
          <w:bCs/>
          <w:color w:val="000000"/>
          <w:sz w:val="36"/>
          <w:szCs w:val="36"/>
        </w:rPr>
      </w:r>
      <w:r>
        <w:rPr>
          <w:rFonts w:hint="eastAsia" w:eastAsia="方正小标宋简体"/>
          <w:b/>
          <w:bCs/>
          <w:color w:val="000000"/>
          <w:sz w:val="36"/>
          <w:szCs w:val="36"/>
        </w:rPr>
      </w:r>
    </w:p>
    <w:p>
      <w:pPr>
        <w:pStyle w:val="737"/>
        <w:pBdr/>
        <w:spacing/>
        <w:ind w:firstLine="723"/>
        <w:rPr>
          <w:rFonts w:hint="eastAsia" w:eastAsia="方正小标宋简体"/>
          <w:b/>
          <w:bCs/>
          <w:color w:val="000000"/>
          <w:sz w:val="36"/>
          <w:szCs w:val="36"/>
        </w:rPr>
      </w:pPr>
      <w:r>
        <w:rPr>
          <w:rFonts w:hint="eastAsia" w:eastAsia="方正小标宋简体"/>
          <w:b/>
          <w:bCs/>
          <w:color w:val="000000"/>
          <w:sz w:val="36"/>
          <w:szCs w:val="36"/>
        </w:rPr>
      </w:r>
      <w:r>
        <w:rPr>
          <w:rFonts w:hint="eastAsia" w:eastAsia="方正小标宋简体"/>
          <w:b/>
          <w:bCs/>
          <w:color w:val="000000"/>
          <w:sz w:val="36"/>
          <w:szCs w:val="36"/>
        </w:rPr>
      </w:r>
    </w:p>
    <w:p>
      <w:pPr>
        <w:pStyle w:val="745"/>
        <w:pBdr/>
        <w:spacing/>
        <w:ind w:firstLine="723" w:left="640"/>
        <w:rPr>
          <w:rFonts w:hint="eastAsia" w:eastAsia="方正小标宋简体"/>
          <w:b/>
          <w:bCs/>
          <w:color w:val="000000"/>
          <w:sz w:val="36"/>
          <w:szCs w:val="36"/>
        </w:rPr>
      </w:pPr>
      <w:r>
        <w:rPr>
          <w:rFonts w:hint="eastAsia" w:eastAsia="方正小标宋简体"/>
          <w:b/>
          <w:bCs/>
          <w:color w:val="000000"/>
          <w:sz w:val="36"/>
          <w:szCs w:val="36"/>
        </w:rPr>
      </w:r>
      <w:r>
        <w:rPr>
          <w:rFonts w:hint="eastAsia" w:eastAsia="方正小标宋简体"/>
          <w:b/>
          <w:bCs/>
          <w:color w:val="000000"/>
          <w:sz w:val="36"/>
          <w:szCs w:val="36"/>
        </w:rPr>
      </w:r>
    </w:p>
    <w:p>
      <w:pPr>
        <w:pStyle w:val="737"/>
        <w:pBdr/>
        <w:spacing/>
        <w:ind w:firstLine="723"/>
        <w:rPr>
          <w:rFonts w:hint="eastAsia" w:eastAsia="方正小标宋简体"/>
          <w:b/>
          <w:bCs/>
          <w:color w:val="000000"/>
          <w:sz w:val="36"/>
          <w:szCs w:val="36"/>
        </w:rPr>
      </w:pPr>
      <w:r>
        <w:rPr>
          <w:rFonts w:hint="eastAsia" w:eastAsia="方正小标宋简体"/>
          <w:b/>
          <w:bCs/>
          <w:color w:val="000000"/>
          <w:sz w:val="36"/>
          <w:szCs w:val="36"/>
        </w:rPr>
      </w:r>
      <w:r>
        <w:rPr>
          <w:rFonts w:hint="eastAsia" w:eastAsia="方正小标宋简体"/>
          <w:b/>
          <w:bCs/>
          <w:color w:val="000000"/>
          <w:sz w:val="36"/>
          <w:szCs w:val="36"/>
        </w:rPr>
      </w:r>
    </w:p>
    <w:p>
      <w:pPr>
        <w:pStyle w:val="745"/>
        <w:pBdr/>
        <w:spacing/>
        <w:ind w:firstLine="723" w:left="640"/>
        <w:rPr>
          <w:rFonts w:hint="eastAsia" w:eastAsia="方正小标宋简体"/>
          <w:b/>
          <w:bCs/>
          <w:color w:val="000000"/>
          <w:sz w:val="36"/>
          <w:szCs w:val="36"/>
        </w:rPr>
      </w:pPr>
      <w:r>
        <w:rPr>
          <w:rFonts w:hint="eastAsia" w:eastAsia="方正小标宋简体"/>
          <w:b/>
          <w:bCs/>
          <w:color w:val="000000"/>
          <w:sz w:val="36"/>
          <w:szCs w:val="36"/>
        </w:rPr>
      </w:r>
      <w:r>
        <w:rPr>
          <w:rFonts w:hint="eastAsia" w:eastAsia="方正小标宋简体"/>
          <w:b/>
          <w:bCs/>
          <w:color w:val="000000"/>
          <w:sz w:val="36"/>
          <w:szCs w:val="36"/>
        </w:rPr>
      </w:r>
    </w:p>
    <w:p>
      <w:pPr>
        <w:pStyle w:val="737"/>
        <w:pBdr/>
        <w:spacing/>
        <w:ind w:firstLine="723"/>
        <w:rPr>
          <w:rFonts w:hint="eastAsia" w:eastAsia="方正小标宋简体"/>
          <w:b/>
          <w:bCs/>
          <w:color w:val="000000"/>
          <w:sz w:val="36"/>
          <w:szCs w:val="36"/>
        </w:rPr>
      </w:pPr>
      <w:r>
        <w:rPr>
          <w:rFonts w:hint="eastAsia" w:eastAsia="方正小标宋简体"/>
          <w:b/>
          <w:bCs/>
          <w:color w:val="000000"/>
          <w:sz w:val="36"/>
          <w:szCs w:val="36"/>
        </w:rPr>
      </w:r>
      <w:r>
        <w:rPr>
          <w:rFonts w:hint="eastAsia" w:eastAsia="方正小标宋简体"/>
          <w:b/>
          <w:bCs/>
          <w:color w:val="000000"/>
          <w:sz w:val="36"/>
          <w:szCs w:val="36"/>
        </w:rPr>
      </w:r>
    </w:p>
    <w:p>
      <w:pPr>
        <w:pStyle w:val="745"/>
        <w:pBdr/>
        <w:spacing/>
        <w:ind w:firstLine="723" w:left="640"/>
        <w:rPr>
          <w:rFonts w:hint="eastAsia" w:eastAsia="方正小标宋简体"/>
          <w:b/>
          <w:bCs/>
          <w:color w:val="000000"/>
          <w:sz w:val="36"/>
          <w:szCs w:val="36"/>
        </w:rPr>
      </w:pPr>
      <w:r>
        <w:rPr>
          <w:rFonts w:hint="eastAsia" w:eastAsia="方正小标宋简体"/>
          <w:b/>
          <w:bCs/>
          <w:color w:val="000000"/>
          <w:sz w:val="36"/>
          <w:szCs w:val="36"/>
        </w:rPr>
      </w:r>
      <w:r>
        <w:rPr>
          <w:rFonts w:hint="eastAsia" w:eastAsia="方正小标宋简体"/>
          <w:b/>
          <w:bCs/>
          <w:color w:val="000000"/>
          <w:sz w:val="36"/>
          <w:szCs w:val="36"/>
        </w:rPr>
      </w:r>
    </w:p>
    <w:p>
      <w:pPr>
        <w:pStyle w:val="737"/>
        <w:pBdr/>
        <w:spacing/>
        <w:ind w:firstLine="723"/>
        <w:rPr>
          <w:rFonts w:hint="eastAsia" w:eastAsia="方正小标宋简体"/>
          <w:b/>
          <w:bCs/>
          <w:color w:val="000000"/>
          <w:sz w:val="36"/>
          <w:szCs w:val="36"/>
        </w:rPr>
      </w:pPr>
      <w:r>
        <w:rPr>
          <w:rFonts w:hint="eastAsia" w:eastAsia="方正小标宋简体"/>
          <w:b/>
          <w:bCs/>
          <w:color w:val="000000"/>
          <w:sz w:val="36"/>
          <w:szCs w:val="36"/>
        </w:rPr>
      </w:r>
      <w:r>
        <w:rPr>
          <w:rFonts w:hint="eastAsia" w:eastAsia="方正小标宋简体"/>
          <w:b/>
          <w:bCs/>
          <w:color w:val="000000"/>
          <w:sz w:val="36"/>
          <w:szCs w:val="36"/>
        </w:rPr>
      </w:r>
    </w:p>
    <w:p>
      <w:pPr>
        <w:pStyle w:val="745"/>
        <w:pBdr/>
        <w:spacing/>
        <w:ind w:firstLine="723" w:left="640"/>
        <w:rPr>
          <w:rFonts w:hint="eastAsia" w:eastAsia="方正小标宋简体"/>
          <w:b/>
          <w:bCs/>
          <w:color w:val="000000"/>
          <w:sz w:val="36"/>
          <w:szCs w:val="36"/>
        </w:rPr>
      </w:pPr>
      <w:r>
        <w:rPr>
          <w:rFonts w:hint="eastAsia" w:eastAsia="方正小标宋简体"/>
          <w:b/>
          <w:bCs/>
          <w:color w:val="000000"/>
          <w:sz w:val="36"/>
          <w:szCs w:val="36"/>
        </w:rPr>
      </w:r>
      <w:r>
        <w:rPr>
          <w:rFonts w:hint="eastAsia" w:eastAsia="方正小标宋简体"/>
          <w:b/>
          <w:bCs/>
          <w:color w:val="000000"/>
          <w:sz w:val="36"/>
          <w:szCs w:val="36"/>
        </w:rPr>
      </w:r>
    </w:p>
    <w:p>
      <w:pPr>
        <w:pStyle w:val="737"/>
        <w:pBdr/>
        <w:spacing/>
        <w:ind w:firstLine="723"/>
        <w:rPr>
          <w:rFonts w:hint="eastAsia" w:eastAsia="方正小标宋简体"/>
          <w:b/>
          <w:bCs/>
          <w:color w:val="000000"/>
          <w:sz w:val="36"/>
          <w:szCs w:val="36"/>
        </w:rPr>
      </w:pPr>
      <w:r>
        <w:rPr>
          <w:rFonts w:hint="eastAsia" w:eastAsia="方正小标宋简体"/>
          <w:b/>
          <w:bCs/>
          <w:color w:val="000000"/>
          <w:sz w:val="36"/>
          <w:szCs w:val="36"/>
        </w:rPr>
      </w:r>
      <w:r>
        <w:rPr>
          <w:rFonts w:hint="eastAsia" w:eastAsia="方正小标宋简体"/>
          <w:b/>
          <w:bCs/>
          <w:color w:val="000000"/>
          <w:sz w:val="36"/>
          <w:szCs w:val="36"/>
        </w:rPr>
      </w:r>
    </w:p>
    <w:p>
      <w:pPr>
        <w:pStyle w:val="745"/>
        <w:pBdr/>
        <w:spacing w:after="0"/>
        <w:ind w:firstLine="0" w:left="0"/>
        <w:rPr>
          <w:rFonts w:hint="eastAsia"/>
          <w:color w:val="000000"/>
        </w:rPr>
      </w:pPr>
      <w:r>
        <w:rPr>
          <w:rFonts w:hint="eastAsia"/>
          <w:color w:val="000000"/>
        </w:rPr>
      </w:r>
      <w:r>
        <w:rPr>
          <w:rFonts w:hint="eastAsia"/>
          <w:color w:val="000000"/>
        </w:rPr>
      </w:r>
    </w:p>
    <w:p>
      <w:pPr>
        <w:pStyle w:val="738"/>
        <w:pBdr/>
        <w:spacing/>
        <w:ind/>
        <w:rPr>
          <w:rFonts w:eastAsia="方正小标宋简体"/>
          <w:b w:val="0"/>
          <w:bCs w:val="0"/>
          <w:color w:val="000000"/>
          <w:sz w:val="36"/>
          <w:szCs w:val="36"/>
          <w:lang w:val="en-US"/>
        </w:rPr>
      </w:pPr>
      <w:r/>
      <w:bookmarkStart w:id="52" w:name="_Toc10993"/>
      <w:r>
        <w:rPr>
          <w:rFonts w:hint="eastAsia" w:eastAsia="方正小标宋简体"/>
          <w:b w:val="0"/>
          <w:bCs w:val="0"/>
          <w:color w:val="000000"/>
          <w:sz w:val="36"/>
          <w:szCs w:val="36"/>
        </w:rPr>
        <w:t xml:space="preserve">第七章 提高</w:t>
      </w:r>
      <w:r>
        <w:rPr>
          <w:rFonts w:hint="eastAsia" w:eastAsia="方正小标宋简体"/>
          <w:b w:val="0"/>
          <w:bCs w:val="0"/>
          <w:color w:val="000000"/>
          <w:sz w:val="36"/>
          <w:szCs w:val="36"/>
          <w:lang w:val="en-US"/>
        </w:rPr>
        <w:t xml:space="preserve">新型城镇化品质 建设“神韵随州”</w:t>
      </w:r>
      <w:bookmarkEnd w:id="52"/>
      <w:r>
        <w:rPr>
          <w:rFonts w:eastAsia="方正小标宋简体"/>
          <w:b w:val="0"/>
          <w:bCs w:val="0"/>
          <w:color w:val="000000"/>
          <w:sz w:val="36"/>
          <w:szCs w:val="36"/>
          <w:lang w:val="en-US"/>
        </w:rPr>
      </w:r>
      <w:r>
        <w:rPr>
          <w:rFonts w:eastAsia="方正小标宋简体"/>
          <w:b w:val="0"/>
          <w:bCs w:val="0"/>
          <w:color w:val="000000"/>
          <w:sz w:val="36"/>
          <w:szCs w:val="36"/>
          <w:lang w:val="en-US"/>
        </w:rPr>
      </w:r>
    </w:p>
    <w:p>
      <w:pPr>
        <w:pStyle w:val="737"/>
        <w:pBdr/>
        <w:spacing/>
        <w:ind w:firstLine="640"/>
        <w:rPr>
          <w:color w:val="000000"/>
        </w:rPr>
      </w:pPr>
      <w:r>
        <w:rPr>
          <w:color w:val="000000"/>
        </w:rPr>
      </w:r>
      <w:r>
        <w:rPr>
          <w:color w:val="000000"/>
        </w:rPr>
      </w:r>
    </w:p>
    <w:p>
      <w:pPr>
        <w:pStyle w:val="737"/>
        <w:pBdr/>
        <w:spacing/>
        <w:ind w:firstLine="640"/>
        <w:rPr>
          <w:color w:val="000000"/>
        </w:rPr>
      </w:pPr>
      <w:r>
        <w:rPr>
          <w:rFonts w:hint="eastAsia"/>
          <w:color w:val="000000"/>
        </w:rPr>
        <w:t xml:space="preserve">优化城镇发展布局，促进中心城市与县城、重要城镇协调发展，</w:t>
      </w:r>
      <w:r>
        <w:rPr>
          <w:rFonts w:hint="eastAsia"/>
          <w:color w:val="000000"/>
          <w:lang w:val="en-US"/>
        </w:rPr>
        <w:t xml:space="preserve">推动人口向优势区域持续集中，产业向优势区域加快集聚，不断提升产城融合、以工带农、城乡一体化水平，</w:t>
      </w:r>
      <w:r>
        <w:rPr>
          <w:rFonts w:hint="eastAsia"/>
          <w:color w:val="000000"/>
        </w:rPr>
        <w:t xml:space="preserve">形成与新型城镇化高质量发展相适应的城镇发展格局。</w:t>
      </w:r>
      <w:r>
        <w:rPr>
          <w:color w:val="000000"/>
        </w:rPr>
      </w:r>
      <w:r>
        <w:rPr>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bookmarkStart w:id="53" w:name="_Toc28798"/>
      <w:r>
        <w:rPr>
          <w:rFonts w:hint="eastAsia" w:ascii="黑体" w:hAnsi="黑体" w:eastAsia="黑体" w:cs="黑体"/>
          <w:b w:val="0"/>
          <w:bCs w:val="0"/>
          <w:color w:val="000000"/>
        </w:rPr>
        <w:t xml:space="preserve">一、优化中心城区功能</w:t>
      </w:r>
      <w:bookmarkEnd w:id="53"/>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color w:val="000000"/>
        </w:rPr>
      </w:pPr>
      <w:r>
        <w:rPr>
          <w:rFonts w:hint="eastAsia" w:hAnsi="仿宋" w:cs="仿宋"/>
          <w:color w:val="000000"/>
        </w:rPr>
        <w:t xml:space="preserve">坚持科学规划布局、合理配置资源，</w:t>
      </w:r>
      <w:r>
        <w:rPr>
          <w:rFonts w:hint="eastAsia" w:hAnsi="仿宋" w:cs="仿宋"/>
          <w:color w:val="000000"/>
          <w:lang w:val="en-US"/>
        </w:rPr>
        <w:t xml:space="preserve">统筹推进曾都区和随州高新区发展，</w:t>
      </w:r>
      <w:r>
        <w:rPr>
          <w:rFonts w:hint="eastAsia" w:hAnsi="仿宋" w:cs="仿宋"/>
          <w:color w:val="000000"/>
        </w:rPr>
        <w:t xml:space="preserve">推动中心城区</w:t>
      </w:r>
      <w:r>
        <w:rPr>
          <w:rFonts w:hint="eastAsia" w:hAnsi="仿宋" w:cs="仿宋"/>
          <w:color w:val="000000"/>
          <w:lang w:val="en-US"/>
        </w:rPr>
        <w:t xml:space="preserve">形成分工合理、设施完备、功能互补、特色突显的空间布局</w:t>
      </w:r>
      <w:r>
        <w:rPr>
          <w:rFonts w:hint="eastAsia"/>
          <w:color w:val="000000"/>
        </w:rPr>
        <w:t xml:space="preserve">，建设神韵随州的高品质发展区，力争中心城区建成区面积达到</w:t>
      </w:r>
      <w:r>
        <w:rPr>
          <w:rFonts w:hint="eastAsia"/>
          <w:color w:val="000000"/>
          <w:lang w:val="en-US"/>
        </w:rPr>
        <w:t xml:space="preserve">100平方公里，能够容纳100万人口的承载能力</w:t>
      </w:r>
      <w:r>
        <w:rPr>
          <w:rFonts w:hint="eastAsia"/>
          <w:color w:val="000000"/>
        </w:rPr>
        <w:t xml:space="preserve">。</w:t>
      </w:r>
      <w:r>
        <w:rPr>
          <w:color w:val="000000"/>
        </w:rPr>
      </w:r>
      <w:r>
        <w:rPr>
          <w:color w:val="000000"/>
        </w:rPr>
      </w:r>
    </w:p>
    <w:p>
      <w:pPr>
        <w:pStyle w:val="737"/>
        <w:pBdr/>
        <w:spacing/>
        <w:ind w:firstLine="643"/>
        <w:rPr>
          <w:rFonts w:hint="eastAsia"/>
          <w:color w:val="000000"/>
        </w:rPr>
      </w:pPr>
      <w:r>
        <w:rPr>
          <w:rFonts w:hint="eastAsia" w:ascii="宋体" w:hAnsi="宋体" w:eastAsia="宋体" w:cs="宋体"/>
          <w:b/>
          <w:bCs/>
          <w:color w:val="000000"/>
        </w:rPr>
        <w:t xml:space="preserve">——</w:t>
      </w:r>
      <w:r>
        <w:rPr>
          <w:rFonts w:hint="eastAsia" w:ascii="楷体_GB2312" w:hAnsi="楷体_GB2312" w:eastAsia="楷体_GB2312" w:cs="楷体_GB2312"/>
          <w:b/>
          <w:bCs/>
          <w:color w:val="000000"/>
        </w:rPr>
        <w:t xml:space="preserve">优化老城区功能布局，提升城市品质</w:t>
      </w:r>
      <w:r>
        <w:rPr>
          <w:rFonts w:hint="eastAsia"/>
          <w:color w:val="000000"/>
        </w:rPr>
        <w:t xml:space="preserve">。聚焦“特色品质、发展驱动、民生幸福”三大维度，突出“文化、休闲、商业、宜居”四大功能，补足功能短板，改善人居环境，擦亮文化名城，引导产业升级，增强老城区活力。</w:t>
      </w:r>
      <w:r>
        <w:rPr>
          <w:rFonts w:hint="eastAsia"/>
          <w:color w:val="000000"/>
        </w:rPr>
      </w:r>
      <w:r>
        <w:rPr>
          <w:rFonts w:hint="eastAsia"/>
          <w:color w:val="000000"/>
        </w:rPr>
      </w:r>
    </w:p>
    <w:p>
      <w:pPr>
        <w:pStyle w:val="737"/>
        <w:pBdr/>
        <w:spacing/>
        <w:ind w:firstLine="643"/>
        <w:rPr>
          <w:color w:val="000000"/>
        </w:rPr>
      </w:pPr>
      <w:r>
        <w:rPr>
          <w:rFonts w:hint="eastAsia" w:ascii="宋体" w:hAnsi="宋体" w:eastAsia="宋体" w:cs="宋体"/>
          <w:b/>
          <w:bCs/>
          <w:color w:val="000000"/>
        </w:rPr>
        <w:t xml:space="preserve">——</w:t>
      </w:r>
      <w:r>
        <w:rPr>
          <w:rFonts w:hint="eastAsia" w:ascii="楷体_GB2312" w:hAnsi="楷体_GB2312" w:eastAsia="楷体_GB2312" w:cs="楷体_GB2312"/>
          <w:b/>
          <w:bCs/>
          <w:color w:val="000000"/>
        </w:rPr>
        <w:t xml:space="preserve">推进中心城区向东发展，做强产业功能</w:t>
      </w:r>
      <w:r>
        <w:rPr>
          <w:rFonts w:hint="eastAsia"/>
          <w:color w:val="000000"/>
        </w:rPr>
        <w:t xml:space="preserve">。促进淅河镇与随州高新区一体化发展，形成高端产业集聚区</w:t>
      </w:r>
      <w:r>
        <w:rPr>
          <w:rFonts w:hint="eastAsia"/>
          <w:color w:val="000000"/>
          <w:lang w:eastAsia="zh-CN"/>
        </w:rPr>
        <w:t xml:space="preserve">。</w:t>
      </w:r>
      <w:r>
        <w:rPr>
          <w:rFonts w:hint="eastAsia"/>
          <w:color w:val="000000"/>
        </w:rPr>
        <w:t xml:space="preserve">加快实施满园工程，支持汽车电子产业园、铁北食品医药产业园、化工产业园引进一批头部企业设立区域总部、职能总部，推动武汉经济开发区随州产业园积极承接武汉经开区汽车及其零部件和光谷生物城大健康产业转移，打造优势产业集聚区、创新驱动发展示范区、开放协同发展样板区、特色增长极引领区、数字经济前沿高地。</w:t>
      </w:r>
      <w:r>
        <w:rPr>
          <w:color w:val="000000"/>
        </w:rPr>
      </w:r>
      <w:r>
        <w:rPr>
          <w:color w:val="000000"/>
        </w:rPr>
      </w:r>
    </w:p>
    <w:p>
      <w:pPr>
        <w:pStyle w:val="737"/>
        <w:pBdr/>
        <w:spacing/>
        <w:ind w:firstLine="643"/>
        <w:rPr>
          <w:color w:val="000000"/>
        </w:rPr>
      </w:pPr>
      <w:r>
        <w:rPr>
          <w:rFonts w:hint="eastAsia" w:ascii="宋体" w:hAnsi="宋体" w:eastAsia="宋体" w:cs="宋体"/>
          <w:b/>
          <w:bCs/>
          <w:color w:val="000000"/>
        </w:rPr>
        <w:t xml:space="preserve">——</w:t>
      </w:r>
      <w:r>
        <w:rPr>
          <w:rFonts w:hint="eastAsia" w:ascii="楷体_GB2312" w:hAnsi="楷体_GB2312" w:eastAsia="楷体_GB2312" w:cs="楷体_GB2312"/>
          <w:b/>
          <w:bCs/>
          <w:color w:val="000000"/>
        </w:rPr>
        <w:t xml:space="preserve">推进中心城区向南发展，拓展城市功能</w:t>
      </w:r>
      <w:r>
        <w:rPr>
          <w:rFonts w:hint="eastAsia"/>
          <w:color w:val="000000"/>
        </w:rPr>
        <w:t xml:space="preserve">。推进城南高铁片区、何店镇区融合发展，高标准建设城市新区，作为未来承载国家和湖北省发展战略的潜力空间，发展壮大现代商贸、精品旅游、高端医养、高等教育等精细化和高品质生活性服务业，积极培育研发设计服务、检验检测服务、商务服务、信息服务、金融服务、现代物流等专业化和中高端生产性服务业，打造城市功能核心承载区、市级综合生活服务中心、新型现代生产服务中心。</w:t>
      </w:r>
      <w:r>
        <w:rPr>
          <w:color w:val="000000"/>
        </w:rPr>
      </w:r>
      <w:r>
        <w:rPr>
          <w:color w:val="000000"/>
        </w:rPr>
      </w:r>
    </w:p>
    <w:p>
      <w:pPr>
        <w:pStyle w:val="737"/>
        <w:pBdr/>
        <w:spacing/>
        <w:ind w:firstLine="643"/>
        <w:rPr>
          <w:color w:val="000000"/>
        </w:rPr>
      </w:pPr>
      <w:r>
        <w:rPr>
          <w:rFonts w:hint="eastAsia" w:ascii="宋体" w:hAnsi="宋体" w:eastAsia="宋体" w:cs="宋体"/>
          <w:b/>
          <w:bCs/>
          <w:color w:val="000000"/>
        </w:rPr>
        <w:t xml:space="preserve">——</w:t>
      </w:r>
      <w:r>
        <w:rPr>
          <w:rFonts w:hint="eastAsia" w:ascii="楷体_GB2312" w:hAnsi="楷体_GB2312" w:eastAsia="楷体_GB2312" w:cs="楷体_GB2312"/>
          <w:b/>
          <w:bCs/>
          <w:color w:val="000000"/>
        </w:rPr>
        <w:t xml:space="preserve">推进中心城区向西发展，重塑文化之魂</w:t>
      </w:r>
      <w:r>
        <w:rPr>
          <w:rFonts w:hint="eastAsia"/>
          <w:color w:val="000000"/>
        </w:rPr>
        <w:t xml:space="preserve">。活化曾随文化，推动擂鼓墩大遗址保护与传承利用，加快建设随悦青铜古镇，促进与城市空间、城市功能融合，打造国家文物保护利用示范区。</w:t>
      </w:r>
      <w:r>
        <w:rPr>
          <w:color w:val="000000"/>
        </w:rPr>
      </w:r>
      <w:r>
        <w:rPr>
          <w:color w:val="000000"/>
        </w:rPr>
      </w:r>
    </w:p>
    <w:p>
      <w:pPr>
        <w:pStyle w:val="737"/>
        <w:pBdr/>
        <w:spacing/>
        <w:ind w:firstLine="643"/>
        <w:rPr>
          <w:color w:val="000000"/>
        </w:rPr>
      </w:pPr>
      <w:r>
        <w:rPr>
          <w:rFonts w:hint="eastAsia" w:ascii="宋体" w:hAnsi="宋体" w:eastAsia="宋体" w:cs="宋体"/>
          <w:b/>
          <w:bCs/>
          <w:color w:val="000000"/>
        </w:rPr>
        <w:t xml:space="preserve">——</w:t>
      </w:r>
      <w:r>
        <w:rPr>
          <w:rFonts w:hint="eastAsia" w:ascii="楷体_GB2312" w:hAnsi="楷体_GB2312" w:eastAsia="楷体_GB2312" w:cs="楷体_GB2312"/>
          <w:b/>
          <w:bCs/>
          <w:color w:val="000000"/>
        </w:rPr>
        <w:t xml:space="preserve">推进中心城区向北发展，推动区域融合</w:t>
      </w:r>
      <w:r>
        <w:rPr>
          <w:rFonts w:hint="eastAsia"/>
          <w:color w:val="000000"/>
        </w:rPr>
        <w:t xml:space="preserve">。促进中心城区北部区域与随县县城一体化建设和产城融合发展，构建交通互联互通、产业互融互补、城市功能互促互进格局</w:t>
      </w:r>
      <w:r>
        <w:rPr>
          <w:rFonts w:hint="eastAsia" w:cs="宋体"/>
          <w:color w:val="000000"/>
        </w:rPr>
        <w:t xml:space="preserve">，打造区域性产城融合发展新标杆。</w:t>
      </w:r>
      <w:r>
        <w:rPr>
          <w:color w:val="000000"/>
        </w:rPr>
      </w:r>
      <w:r>
        <w:rPr>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bookmarkStart w:id="54" w:name="_Toc15339"/>
      <w:r>
        <w:rPr>
          <w:rFonts w:hint="eastAsia" w:ascii="黑体" w:hAnsi="黑体" w:eastAsia="黑体" w:cs="黑体"/>
          <w:b w:val="0"/>
          <w:bCs w:val="0"/>
          <w:color w:val="000000"/>
        </w:rPr>
        <w:t xml:space="preserve">二、提升城市建设品质</w:t>
      </w:r>
      <w:bookmarkEnd w:id="54"/>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color w:val="000000"/>
        </w:rPr>
      </w:pPr>
      <w:r>
        <w:rPr>
          <w:rFonts w:hint="eastAsia" w:hAnsi="仿宋" w:cs="仿宋"/>
          <w:color w:val="000000"/>
          <w:lang w:val="en-US"/>
        </w:rPr>
        <w:t xml:space="preserve">实施神韵随州补短板品质提升三年行动，</w:t>
      </w:r>
      <w:r>
        <w:rPr>
          <w:rFonts w:hint="eastAsia" w:hAnsi="仿宋" w:cs="仿宋"/>
          <w:color w:val="000000"/>
        </w:rPr>
        <w:t xml:space="preserve">全面提升城市经济品质、人文品质、生态品质、生活品质，建设宜居宜业宜游的现代化城市。</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完善城市基础设施</w:t>
      </w:r>
      <w:r>
        <w:rPr>
          <w:rFonts w:hint="eastAsia" w:cs="仿宋_GB2312"/>
          <w:b/>
          <w:bCs/>
          <w:color w:val="000000"/>
        </w:rPr>
        <w:t xml:space="preserve">。</w:t>
      </w:r>
      <w:r>
        <w:rPr>
          <w:rFonts w:hint="eastAsia" w:hAnsi="仿宋" w:cs="仿宋"/>
          <w:color w:val="000000"/>
        </w:rPr>
        <w:t xml:space="preserve">实施城市更新行动，推进城市基础设施建设提档升级。</w:t>
      </w:r>
      <w:r>
        <w:rPr>
          <w:rFonts w:hint="eastAsia" w:hAnsi="仿宋" w:cs="仿宋"/>
          <w:color w:val="000000"/>
          <w:lang w:val="en-US"/>
        </w:rPr>
        <w:t xml:space="preserve">健全城</w:t>
      </w:r>
      <w:r>
        <w:rPr>
          <w:rFonts w:hint="eastAsia" w:cs="仿宋_GB2312"/>
          <w:color w:val="000000"/>
          <w:lang w:val="en-US"/>
        </w:rPr>
        <w:t xml:space="preserve">市道路网络体系，持续推进道路畅通工程，以改造、新建城市主干道为骨架，打造畅通城市</w:t>
      </w:r>
      <w:r>
        <w:rPr>
          <w:color w:val="000000"/>
          <w:lang w:val="en-US"/>
        </w:rPr>
        <w:t xml:space="preserve">“</w:t>
      </w:r>
      <w:r>
        <w:rPr>
          <w:rFonts w:hint="eastAsia" w:cs="仿宋_GB2312"/>
          <w:color w:val="000000"/>
          <w:lang w:val="en-US"/>
        </w:rPr>
        <w:t xml:space="preserve">微循环</w:t>
      </w:r>
      <w:r>
        <w:rPr>
          <w:color w:val="000000"/>
          <w:lang w:val="en-US"/>
        </w:rPr>
        <w:t xml:space="preserve">”</w:t>
      </w:r>
      <w:r>
        <w:rPr>
          <w:rFonts w:hint="eastAsia" w:cs="仿宋_GB2312"/>
          <w:color w:val="000000"/>
          <w:lang w:val="en-US"/>
        </w:rPr>
        <w:t xml:space="preserve">为重点，打通</w:t>
      </w:r>
      <w:r>
        <w:rPr>
          <w:color w:val="000000"/>
          <w:lang w:val="en-US"/>
        </w:rPr>
        <w:t xml:space="preserve">“</w:t>
      </w:r>
      <w:r>
        <w:rPr>
          <w:rFonts w:hint="eastAsia" w:cs="仿宋_GB2312"/>
          <w:color w:val="000000"/>
          <w:lang w:val="en-US"/>
        </w:rPr>
        <w:t xml:space="preserve">断头路</w:t>
      </w:r>
      <w:r>
        <w:rPr>
          <w:color w:val="000000"/>
          <w:lang w:val="en-US"/>
        </w:rPr>
        <w:t xml:space="preserve">”</w:t>
      </w:r>
      <w:r>
        <w:rPr>
          <w:rFonts w:hint="eastAsia" w:cs="仿宋_GB2312"/>
          <w:color w:val="000000"/>
          <w:lang w:val="en-US"/>
        </w:rPr>
        <w:t xml:space="preserve">，消除</w:t>
      </w:r>
      <w:r>
        <w:rPr>
          <w:color w:val="000000"/>
          <w:lang w:val="en-US"/>
        </w:rPr>
        <w:t xml:space="preserve">“</w:t>
      </w:r>
      <w:r>
        <w:rPr>
          <w:rFonts w:hint="eastAsia" w:cs="仿宋_GB2312"/>
          <w:color w:val="000000"/>
          <w:lang w:val="en-US"/>
        </w:rPr>
        <w:t xml:space="preserve">堵点</w:t>
      </w:r>
      <w:r>
        <w:rPr>
          <w:color w:val="000000"/>
          <w:lang w:val="en-US"/>
        </w:rPr>
        <w:t xml:space="preserve">”</w:t>
      </w:r>
      <w:r>
        <w:rPr>
          <w:rFonts w:hint="eastAsia" w:cs="仿宋_GB2312"/>
          <w:color w:val="000000"/>
          <w:lang w:val="en-US"/>
        </w:rPr>
        <w:t xml:space="preserve">，增强全市道路互融互通。</w:t>
      </w:r>
      <w:r>
        <w:rPr>
          <w:rFonts w:hint="eastAsia" w:cs="仿宋_GB2312"/>
          <w:color w:val="000000"/>
        </w:rPr>
        <w:t xml:space="preserve">加大老旧小区改造步伐，完善老旧小区水电供应、停车位、无障碍设施、公共服务等配套设</w:t>
      </w:r>
      <w:r>
        <w:rPr>
          <w:rFonts w:hint="eastAsia" w:cs="仿宋_GB2312"/>
          <w:color w:val="000000"/>
          <w:lang w:eastAsia="zh-CN"/>
        </w:rPr>
        <w:t xml:space="preserve">施</w:t>
      </w:r>
      <w:r>
        <w:rPr>
          <w:rFonts w:hint="eastAsia" w:cs="仿宋_GB2312"/>
          <w:color w:val="000000"/>
        </w:rPr>
        <w:t xml:space="preserve">，全力推进老旧小区配套改造工程建设，改造老旧小区</w:t>
      </w:r>
      <w:r>
        <w:rPr>
          <w:color w:val="000000"/>
        </w:rPr>
        <w:t xml:space="preserve">300</w:t>
      </w:r>
      <w:r>
        <w:rPr>
          <w:rFonts w:hint="eastAsia" w:cs="仿宋_GB2312"/>
          <w:color w:val="000000"/>
        </w:rPr>
        <w:t xml:space="preserve">个以上。加快</w:t>
      </w:r>
      <w:r>
        <w:rPr>
          <w:rFonts w:hint="eastAsia" w:cs="仿宋_GB2312"/>
          <w:color w:val="000000"/>
          <w:lang w:eastAsia="zh-CN"/>
        </w:rPr>
        <w:t xml:space="preserve">推动</w:t>
      </w:r>
      <w:r>
        <w:rPr>
          <w:color w:val="000000"/>
        </w:rPr>
        <w:t xml:space="preserve">“</w:t>
      </w:r>
      <w:r>
        <w:rPr>
          <w:rFonts w:hint="eastAsia" w:cs="仿宋_GB2312"/>
          <w:color w:val="000000"/>
        </w:rPr>
        <w:t xml:space="preserve">净菜市场</w:t>
      </w:r>
      <w:r>
        <w:rPr>
          <w:color w:val="000000"/>
        </w:rPr>
        <w:t xml:space="preserve">”</w:t>
      </w:r>
      <w:r>
        <w:rPr>
          <w:rFonts w:hint="eastAsia" w:cs="仿宋_GB2312"/>
          <w:color w:val="000000"/>
        </w:rPr>
        <w:t xml:space="preserve">进小区，加大以既有农贸市场为重点的综合整治力度，完善城市农贸市场配套设施，提升城市农贸市场服务水平。加强停车设施建设，规划建设立体停车场，增加公共停车位。启动城市排水设施改造工程，搭建智慧防洪排涝信息化平台，提高雨水收集、排放和回收再利用能力，消除城市易涝点，实现城市建成区范围内</w:t>
      </w:r>
      <w:r>
        <w:rPr>
          <w:color w:val="000000"/>
        </w:rPr>
        <w:t xml:space="preserve">“</w:t>
      </w:r>
      <w:r>
        <w:rPr>
          <w:rFonts w:hint="eastAsia" w:cs="仿宋_GB2312"/>
          <w:color w:val="000000"/>
        </w:rPr>
        <w:t xml:space="preserve">小雨不积、大雨不涝</w:t>
      </w:r>
      <w:r>
        <w:rPr>
          <w:color w:val="000000"/>
        </w:rPr>
        <w:t xml:space="preserve">”</w:t>
      </w:r>
      <w:r>
        <w:rPr>
          <w:rFonts w:hint="eastAsia" w:cs="仿宋_GB2312"/>
          <w:color w:val="000000"/>
        </w:rPr>
        <w:t xml:space="preserve">目标。规范城市管廊建设管理，加大城市道路地下综合管廊同步配建力度。</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推进城市绿色发展</w:t>
      </w:r>
      <w:r>
        <w:rPr>
          <w:rFonts w:hint="eastAsia" w:cs="仿宋_GB2312"/>
          <w:b/>
          <w:bCs/>
          <w:color w:val="000000"/>
        </w:rPr>
        <w:t xml:space="preserve">。</w:t>
      </w:r>
      <w:r>
        <w:rPr>
          <w:rFonts w:hint="eastAsia" w:cs="仿宋_GB2312"/>
          <w:color w:val="000000"/>
        </w:rPr>
        <w:t xml:space="preserve">持续推进生态修补，把海绵城市理念融入城市建设，加大城市园林绿化力度，优化城市公园绿地布局，建设一批城市公园、社区公园、小游园和街头绿地，广泛开展庭院绿化建设和园林式单位创建活动，推进城市绿道系统建设，对空闲地、裸露地、废弃用地等绿化薄弱地区开展园林绿化建设改造，人均公园绿地面积达到</w:t>
      </w:r>
      <w:r>
        <w:rPr>
          <w:color w:val="000000"/>
        </w:rPr>
        <w:t xml:space="preserve">13.9</w:t>
      </w:r>
      <w:r>
        <w:rPr>
          <w:rFonts w:hint="eastAsia" w:cs="仿宋_GB2312"/>
          <w:color w:val="000000"/>
        </w:rPr>
        <w:t xml:space="preserve">平方米，绿地率达到</w:t>
      </w:r>
      <w:r>
        <w:rPr>
          <w:color w:val="000000"/>
        </w:rPr>
        <w:t xml:space="preserve">40.5%</w:t>
      </w:r>
      <w:r>
        <w:rPr>
          <w:rFonts w:hint="eastAsia" w:cs="仿宋_GB2312"/>
          <w:color w:val="000000"/>
        </w:rPr>
        <w:t xml:space="preserve">。重拳整治中心城区挥发性有机物、施工扬尘、餐饮油烟等大气面源污染。加快推进城市雨污分流改造，配套建设污水收集管网，实现生活污水全收集、处理全覆盖。建成污泥无害化处理厂，提高污泥无害化和资源化处置能力。建立健全黑臭水体管理长效机制，巩固黑臭水体治理成果，加强城市内河综合治理。全面推进城乡生活垃圾分类，建成城区垃圾焚烧发电厂、餐厨垃圾处理厂、建筑垃圾处理厂、大件垃圾拆除中心、可回收物分拣存储中心、有害垃圾分拣存储中心及垃圾预处理站，中心城区生活垃圾无害化处理率达到100%。</w:t>
      </w:r>
      <w:r>
        <w:rPr>
          <w:color w:val="000000"/>
        </w:rPr>
      </w:r>
      <w:r>
        <w:rPr>
          <w:color w:val="000000"/>
        </w:rPr>
      </w:r>
    </w:p>
    <w:p>
      <w:pPr>
        <w:pStyle w:val="737"/>
        <w:pBdr/>
        <w:spacing/>
        <w:ind w:firstLine="643"/>
        <w:rPr>
          <w:rFonts w:hint="eastAsia"/>
          <w:color w:val="000000"/>
        </w:rPr>
      </w:pPr>
      <w:r>
        <w:rPr>
          <w:rFonts w:hint="eastAsia" w:ascii="楷体_GB2312" w:hAnsi="楷体_GB2312" w:eastAsia="楷体_GB2312" w:cs="楷体_GB2312"/>
          <w:b/>
          <w:bCs/>
          <w:color w:val="000000"/>
        </w:rPr>
        <w:t xml:space="preserve">提升城市公共服务功能</w:t>
      </w:r>
      <w:r>
        <w:rPr>
          <w:rFonts w:hint="eastAsia"/>
          <w:b/>
          <w:bCs/>
          <w:color w:val="000000"/>
        </w:rPr>
        <w:t xml:space="preserve">。</w:t>
      </w:r>
      <w:r>
        <w:rPr>
          <w:rFonts w:hint="eastAsia"/>
          <w:color w:val="000000"/>
        </w:rPr>
        <w:t xml:space="preserve">加快提升城市供水供气供暖保障能力，建设城东应急水厂，加快城市主次干道老旧供水管网改造，启动随州中心城区天然气复线工程，建设储气调峰站，高效利用天然气、随州电厂余热，推动工商业和居民住宅供热、供暖工程建设。推进城市防护工程和防震防空应急避难场所建设，加强城市气象灾害监测预警体系建设，提高城市防灾减灾能力。</w:t>
      </w:r>
      <w:r>
        <w:rPr>
          <w:rFonts w:hint="eastAsia"/>
          <w:color w:val="000000"/>
        </w:rPr>
      </w:r>
      <w:r>
        <w:rPr>
          <w:rFonts w:hint="eastAsia"/>
          <w:color w:val="000000"/>
        </w:rPr>
      </w:r>
    </w:p>
    <w:p>
      <w:pPr>
        <w:pStyle w:val="739"/>
        <w:pBdr/>
        <w:spacing/>
        <w:ind w:firstLine="720"/>
        <w:rPr>
          <w:rFonts w:hint="eastAsia" w:ascii="黑体" w:hAnsi="黑体" w:eastAsia="黑体" w:cs="黑体"/>
          <w:b w:val="0"/>
          <w:bCs w:val="0"/>
          <w:color w:val="000000"/>
        </w:rPr>
      </w:pPr>
      <w:r/>
      <w:bookmarkStart w:id="55" w:name="_Toc9816"/>
      <w:r>
        <w:rPr>
          <w:rFonts w:hint="eastAsia" w:ascii="黑体" w:hAnsi="黑体" w:eastAsia="黑体" w:cs="黑体"/>
          <w:b w:val="0"/>
          <w:bCs w:val="0"/>
          <w:color w:val="000000"/>
        </w:rPr>
        <w:t xml:space="preserve">三、推进以人为核心的新型城镇化</w:t>
      </w:r>
      <w:bookmarkEnd w:id="55"/>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rFonts w:cs="仿宋_GB2312"/>
          <w:color w:val="000000"/>
          <w:lang w:val="en-US"/>
        </w:rPr>
      </w:pPr>
      <w:r>
        <w:rPr>
          <w:rFonts w:hint="eastAsia" w:cs="仿宋_GB2312"/>
          <w:color w:val="000000"/>
        </w:rPr>
        <w:t xml:space="preserve">坚持把县城作为新型城镇化建设的重要支撑点，特色小（城）镇作为新型城镇化建设的有效载体，打造吸纳大量人口集聚的重要平台，推动农业转移人口就近城镇化。力争到</w:t>
      </w:r>
      <w:r>
        <w:rPr>
          <w:rFonts w:hint="eastAsia" w:cs="仿宋_GB2312"/>
          <w:color w:val="000000"/>
          <w:lang w:val="en-US"/>
        </w:rPr>
        <w:t xml:space="preserve">2025年，以常住人口为基础的社会保障体系全面确立，基本公共服务覆盖全部常住人口，全市常住人口城镇化率达到6</w:t>
      </w:r>
      <w:r>
        <w:rPr>
          <w:rFonts w:hint="eastAsia" w:cs="仿宋_GB2312"/>
          <w:color w:val="000000"/>
          <w:lang w:val="en-US" w:eastAsia="zh-CN"/>
        </w:rPr>
        <w:t xml:space="preserve">2</w:t>
      </w:r>
      <w:r>
        <w:rPr>
          <w:rFonts w:hint="eastAsia" w:cs="仿宋_GB2312"/>
          <w:color w:val="000000"/>
          <w:lang w:val="en-US"/>
        </w:rPr>
        <w:t xml:space="preserve">%，户籍人口城镇化率达到50%左右。</w:t>
      </w:r>
      <w:r>
        <w:rPr>
          <w:rFonts w:cs="仿宋_GB2312"/>
          <w:color w:val="000000"/>
          <w:lang w:val="en-US"/>
        </w:rPr>
      </w:r>
      <w:r>
        <w:rPr>
          <w:rFonts w:cs="仿宋_GB2312"/>
          <w:color w:val="000000"/>
          <w:lang w:val="en-US"/>
        </w:rPr>
      </w:r>
    </w:p>
    <w:p>
      <w:pPr>
        <w:pStyle w:val="737"/>
        <w:pBdr/>
        <w:spacing w:line="560" w:lineRule="exact"/>
        <w:ind w:firstLine="643"/>
        <w:rPr>
          <w:rFonts w:cs="仿宋_GB2312"/>
          <w:color w:val="000000"/>
        </w:rPr>
      </w:pPr>
      <w:r>
        <w:rPr>
          <w:rFonts w:hint="eastAsia" w:ascii="楷体_GB2312" w:hAnsi="楷体_GB2312" w:eastAsia="楷体_GB2312" w:cs="楷体_GB2312"/>
          <w:b/>
          <w:bCs/>
          <w:color w:val="000000"/>
        </w:rPr>
        <w:t xml:space="preserve">推进县城城镇化补短板强弱项建设</w:t>
      </w:r>
      <w:r>
        <w:rPr>
          <w:rFonts w:hint="eastAsia" w:cs="仿宋_GB2312"/>
          <w:b/>
          <w:bCs/>
          <w:color w:val="000000"/>
        </w:rPr>
        <w:t xml:space="preserve">。</w:t>
      </w:r>
      <w:r>
        <w:rPr>
          <w:rFonts w:hint="eastAsia" w:cs="仿宋_GB2312"/>
          <w:color w:val="000000"/>
        </w:rPr>
        <w:t xml:space="preserve">全力推进随县县城和广水市城区公共服务设施提标扩面、市政公用设施提档升级、产业培育设施提质增效，支持随县新建公办高中、“五馆一场”（文化馆、图书馆、博物馆、游泳馆、体育馆、体育场）、</w:t>
      </w:r>
      <w:r>
        <w:rPr>
          <w:rFonts w:hint="eastAsia" w:cs="仿宋_GB2312"/>
          <w:color w:val="000000"/>
          <w:lang w:val="en-US"/>
        </w:rPr>
        <w:t xml:space="preserve">社会福利院、县城污水管网、县城智慧交通工程</w:t>
      </w:r>
      <w:r>
        <w:rPr>
          <w:rFonts w:hint="eastAsia" w:cs="仿宋_GB2312"/>
          <w:color w:val="000000"/>
        </w:rPr>
        <w:t xml:space="preserve">，支持广水市建设</w:t>
      </w:r>
      <w:r>
        <w:rPr>
          <w:rFonts w:hint="eastAsia" w:cs="仿宋_GB2312"/>
          <w:color w:val="000000"/>
          <w:lang w:val="en-US"/>
        </w:rPr>
        <w:t xml:space="preserve">一医院新建院区、妇幼保健院婴幼儿托育服务大楼、</w:t>
      </w:r>
      <w:r>
        <w:rPr>
          <w:rFonts w:hint="eastAsia" w:cs="仿宋_GB2312"/>
          <w:color w:val="000000"/>
        </w:rPr>
        <w:t xml:space="preserve">“四馆三中心”（</w:t>
      </w:r>
      <w:r>
        <w:rPr>
          <w:rFonts w:hint="eastAsia" w:cs="仿宋_GB2312"/>
          <w:color w:val="000000"/>
          <w:lang w:val="en-US"/>
        </w:rPr>
        <w:t xml:space="preserve">科技馆、文化馆、图书馆、博物馆、体育中心、学术报告中心、广电传媒中心）、</w:t>
      </w:r>
      <w:r>
        <w:rPr>
          <w:rFonts w:hint="eastAsia" w:cs="仿宋_GB2312"/>
          <w:color w:val="000000"/>
        </w:rPr>
        <w:t xml:space="preserve">公共实习实训基地</w:t>
      </w:r>
      <w:r>
        <w:rPr>
          <w:rFonts w:hint="eastAsia" w:cs="仿宋_GB2312"/>
          <w:color w:val="000000"/>
          <w:lang w:val="en-US"/>
        </w:rPr>
        <w:t xml:space="preserve">、应山老城记忆-印台文旅商业综合体、马都司生态新城基础配套设施、马都司污水处理厂、城市防洪工程</w:t>
      </w:r>
      <w:r>
        <w:rPr>
          <w:rFonts w:hint="eastAsia" w:cs="仿宋_GB2312"/>
          <w:color w:val="000000"/>
        </w:rPr>
        <w:t xml:space="preserve">等项目，着力提高县城综合承载能力和品质，</w:t>
      </w:r>
      <w:r>
        <w:rPr>
          <w:rFonts w:hint="eastAsia" w:cs="仿宋_GB2312"/>
          <w:color w:val="000000"/>
          <w:lang w:val="en-US"/>
        </w:rPr>
        <w:t xml:space="preserve">适应进城农民到县城就业安家需求。</w:t>
      </w:r>
      <w:r>
        <w:rPr>
          <w:rFonts w:cs="仿宋_GB2312"/>
          <w:color w:val="000000"/>
        </w:rPr>
      </w:r>
      <w:r>
        <w:rPr>
          <w:rFonts w:cs="仿宋_GB2312"/>
          <w:color w:val="000000"/>
        </w:rPr>
      </w:r>
    </w:p>
    <w:p>
      <w:pPr>
        <w:pStyle w:val="737"/>
        <w:pBdr/>
        <w:spacing w:line="560" w:lineRule="exact"/>
        <w:ind w:firstLine="643"/>
        <w:rPr>
          <w:rFonts w:hint="eastAsia" w:cs="仿宋_GB2312"/>
          <w:color w:val="000000"/>
        </w:rPr>
      </w:pPr>
      <w:r>
        <w:rPr>
          <w:rFonts w:hint="eastAsia" w:ascii="楷体_GB2312" w:hAnsi="楷体_GB2312" w:eastAsia="楷体_GB2312" w:cs="楷体_GB2312"/>
          <w:b/>
          <w:bCs/>
          <w:color w:val="000000"/>
        </w:rPr>
        <w:t xml:space="preserve">增强特色小（城）镇人口承载能力</w:t>
      </w:r>
      <w:r>
        <w:rPr>
          <w:rFonts w:hint="eastAsia" w:cs="仿宋_GB2312"/>
          <w:b/>
          <w:bCs/>
          <w:color w:val="000000"/>
        </w:rPr>
        <w:t xml:space="preserve">。</w:t>
      </w:r>
      <w:r>
        <w:rPr>
          <w:rFonts w:hint="eastAsia" w:cs="仿宋_GB2312"/>
          <w:color w:val="000000"/>
        </w:rPr>
        <w:t xml:space="preserve">坚持宜工则工、宜农则农、宜商则商、宜游则游，沿汉十高速、麻竹高速、随岳高速、随信高速打造四条城镇发展带</w:t>
      </w:r>
      <w:r>
        <w:rPr>
          <w:rFonts w:cs="仿宋_GB2312"/>
          <w:color w:val="000000"/>
        </w:rPr>
        <w:t xml:space="preserve">，筑牢新型城镇化建设的底部基础</w:t>
      </w:r>
      <w:r>
        <w:rPr>
          <w:rFonts w:hint="eastAsia" w:cs="仿宋_GB2312"/>
          <w:color w:val="000000"/>
        </w:rPr>
        <w:t xml:space="preserve">。科学规划一批生产、生活、生态空间布局合理的重点镇，培育壮大一批产业集聚、生态良好的特色小（城）镇，全面完善城镇基础设施和公共服务，改善城镇环境质量，增强城镇综合承载力、吸引力和辐射带动能力，引导农业人口向重点镇和特色小（城）镇转移，成为人口集中的新载体、产业集聚的新高地、功能集成的新平台。</w:t>
      </w:r>
      <w:r>
        <w:rPr>
          <w:rFonts w:hint="eastAsia" w:cs="仿宋_GB2312"/>
          <w:color w:val="000000"/>
        </w:rPr>
      </w:r>
      <w:r>
        <w:rPr>
          <w:rFonts w:hint="eastAsia" w:cs="仿宋_GB2312"/>
          <w:color w:val="000000"/>
        </w:rPr>
      </w:r>
    </w:p>
    <w:p>
      <w:pPr>
        <w:pStyle w:val="737"/>
        <w:pBdr/>
        <w:spacing w:line="560" w:lineRule="exact"/>
        <w:ind w:firstLine="643"/>
        <w:rPr>
          <w:rFonts w:cs="仿宋_GB2312"/>
          <w:color w:val="000000"/>
        </w:rPr>
      </w:pPr>
      <w:r>
        <w:rPr>
          <w:rFonts w:hint="eastAsia" w:ascii="楷体_GB2312" w:hAnsi="楷体_GB2312" w:eastAsia="楷体_GB2312" w:cs="楷体_GB2312"/>
          <w:b/>
          <w:bCs/>
          <w:color w:val="000000"/>
        </w:rPr>
        <w:t xml:space="preserve">加快农业转移人口市民化进程</w:t>
      </w:r>
      <w:r>
        <w:rPr>
          <w:rFonts w:hint="eastAsia" w:cs="仿宋_GB2312"/>
          <w:color w:val="000000"/>
        </w:rPr>
        <w:t xml:space="preserve">。大力推动农村转移劳动力在城镇落户，对凡是符合落户条件并在我市城镇落户的农业转移人口，落户地社区必须无条件接受落户。推进居住证制度覆盖全部未落户城镇常住人口，居住证持有人享有与当地户籍人口同等的劳动就业、公共教育、卫生健康、公共文化、住房保障、社会保障等六大基本公共服务，鼓励居住证持有人落户城镇。建立以居住证为主要依据的随迁子女入学政策，充分保障其接</w:t>
      </w:r>
      <w:r>
        <w:rPr>
          <w:rFonts w:hint="eastAsia" w:cs="仿宋_GB2312"/>
          <w:color w:val="000000"/>
        </w:rPr>
        <w:t xml:space="preserve">受义务教育的权利。加大对农业转移人口就业创业的支持力度，将农业转移人口纳入公共就业服务范围，享受与城镇居民同等服务，加强农业转移人口职业技能培训。保障农业转移人口住房需求，建立购房与租房并举、市场配置与政府保障相结合的住房制度，健全以市场为主满足多层次需求、以政府为主提供基本保障的住房供应体系。建立健全由政府、企业、个人共同参与的农业转移人口市民化成本分担机制。保留并维护进城落户农业转移人口在农村的合法权益，农业转移人口继续享有农村土地承包经营权、宅基地使用权及其他集体经济权益，并建立依法自愿有偿流转机制。</w:t>
      </w:r>
      <w:r>
        <w:rPr>
          <w:rFonts w:cs="仿宋_GB2312"/>
          <w:color w:val="000000"/>
        </w:rPr>
      </w:r>
      <w:r>
        <w:rPr>
          <w:rFonts w:cs="仿宋_GB2312"/>
          <w:color w:val="000000"/>
        </w:rPr>
      </w:r>
    </w:p>
    <w:p>
      <w:pPr>
        <w:pStyle w:val="792"/>
        <w:pBdr/>
        <w:spacing/>
        <w:ind w:firstLine="480"/>
        <w:rPr>
          <w:color w:val="000000"/>
        </w:rPr>
      </w:pPr>
      <w:r>
        <w:rPr>
          <w:color w:val="000000"/>
        </w:rPr>
      </w:r>
      <w:r>
        <w:rPr>
          <w:color w:val="000000"/>
        </w:rPr>
      </w:r>
    </w:p>
    <w:p>
      <w:pPr>
        <w:pStyle w:val="738"/>
        <w:pBdr/>
        <w:spacing/>
        <w:ind/>
        <w:rPr>
          <w:rFonts w:hint="eastAsia" w:eastAsia="方正小标宋简体" w:cs="方正小标宋简体"/>
          <w:b w:val="0"/>
          <w:bCs w:val="0"/>
          <w:color w:val="000000"/>
          <w:sz w:val="36"/>
          <w:szCs w:val="36"/>
        </w:rPr>
      </w:pPr>
      <w:r/>
      <w:bookmarkStart w:id="56" w:name="_Toc24098"/>
      <w:r>
        <w:rPr>
          <w:rFonts w:hint="eastAsia" w:eastAsia="方正小标宋简体" w:cs="方正小标宋简体"/>
          <w:b w:val="0"/>
          <w:bCs w:val="0"/>
          <w:color w:val="000000"/>
          <w:sz w:val="36"/>
          <w:szCs w:val="36"/>
        </w:rPr>
      </w:r>
      <w:r>
        <w:rPr>
          <w:rFonts w:hint="eastAsia" w:eastAsia="方正小标宋简体" w:cs="方正小标宋简体"/>
          <w:b w:val="0"/>
          <w:bCs w:val="0"/>
          <w:color w:val="000000"/>
          <w:sz w:val="36"/>
          <w:szCs w:val="36"/>
        </w:rPr>
      </w:r>
    </w:p>
    <w:p>
      <w:pPr>
        <w:pStyle w:val="738"/>
        <w:pBdr/>
        <w:spacing/>
        <w:ind/>
        <w:rPr>
          <w:rFonts w:hint="eastAsia" w:eastAsia="方正小标宋简体" w:cs="方正小标宋简体"/>
          <w:b w:val="0"/>
          <w:bCs w:val="0"/>
          <w:color w:val="000000"/>
          <w:sz w:val="36"/>
          <w:szCs w:val="36"/>
        </w:rPr>
      </w:pPr>
      <w:r>
        <w:rPr>
          <w:rFonts w:hint="eastAsia" w:eastAsia="方正小标宋简体" w:cs="方正小标宋简体"/>
          <w:b w:val="0"/>
          <w:bCs w:val="0"/>
          <w:color w:val="000000"/>
          <w:sz w:val="36"/>
          <w:szCs w:val="36"/>
        </w:rPr>
      </w:r>
      <w:r>
        <w:rPr>
          <w:rFonts w:hint="eastAsia" w:eastAsia="方正小标宋简体" w:cs="方正小标宋简体"/>
          <w:b w:val="0"/>
          <w:bCs w:val="0"/>
          <w:color w:val="000000"/>
          <w:sz w:val="36"/>
          <w:szCs w:val="36"/>
        </w:rPr>
      </w:r>
    </w:p>
    <w:p>
      <w:pPr>
        <w:pStyle w:val="738"/>
        <w:pBdr/>
        <w:spacing/>
        <w:ind/>
        <w:rPr>
          <w:rFonts w:hint="eastAsia" w:eastAsia="仿宋_GB2312"/>
          <w:color w:val="000000"/>
        </w:rPr>
      </w:pPr>
      <w:r>
        <w:rPr>
          <w:rFonts w:hint="eastAsia" w:eastAsia="方正小标宋简体" w:cs="方正小标宋简体"/>
          <w:b w:val="0"/>
          <w:bCs w:val="0"/>
          <w:color w:val="000000"/>
          <w:sz w:val="36"/>
          <w:szCs w:val="36"/>
        </w:rPr>
        <w:t xml:space="preserve">第八章</w:t>
      </w:r>
      <w:r>
        <w:rPr>
          <w:rFonts w:eastAsia="方正小标宋简体"/>
          <w:b w:val="0"/>
          <w:bCs w:val="0"/>
          <w:color w:val="000000"/>
          <w:sz w:val="36"/>
          <w:szCs w:val="36"/>
        </w:rPr>
        <w:t xml:space="preserve"> </w:t>
      </w:r>
      <w:r>
        <w:rPr>
          <w:rFonts w:hint="eastAsia" w:eastAsia="方正小标宋简体" w:cs="方正小标宋简体"/>
          <w:b w:val="0"/>
          <w:bCs w:val="0"/>
          <w:color w:val="000000"/>
          <w:sz w:val="36"/>
          <w:szCs w:val="36"/>
        </w:rPr>
        <w:t xml:space="preserve">实施乡村振兴战略</w:t>
      </w:r>
      <w:r>
        <w:rPr>
          <w:rFonts w:hint="eastAsia" w:eastAsia="方正小标宋简体" w:cs="方正小标宋简体"/>
          <w:b w:val="0"/>
          <w:bCs w:val="0"/>
          <w:color w:val="000000"/>
          <w:sz w:val="36"/>
          <w:szCs w:val="36"/>
          <w:lang w:val="en-US"/>
        </w:rPr>
        <w:t xml:space="preserve"> </w:t>
      </w:r>
      <w:r>
        <w:rPr>
          <w:rFonts w:hint="eastAsia" w:eastAsia="方正小标宋简体" w:cs="方正小标宋简体"/>
          <w:b w:val="0"/>
          <w:bCs w:val="0"/>
          <w:color w:val="000000"/>
          <w:sz w:val="36"/>
          <w:szCs w:val="36"/>
        </w:rPr>
        <w:t xml:space="preserve">推进农业农村现代化</w:t>
      </w:r>
      <w:bookmarkEnd w:id="56"/>
      <w:r>
        <w:rPr>
          <w:rFonts w:hint="eastAsia" w:eastAsia="仿宋_GB2312"/>
          <w:color w:val="000000"/>
        </w:rPr>
      </w:r>
      <w:r>
        <w:rPr>
          <w:rFonts w:hint="eastAsia" w:eastAsia="仿宋_GB2312"/>
          <w:color w:val="000000"/>
        </w:rPr>
      </w:r>
    </w:p>
    <w:p>
      <w:pPr>
        <w:pStyle w:val="737"/>
        <w:pBdr/>
        <w:spacing/>
        <w:ind w:firstLine="640"/>
        <w:rPr>
          <w:rFonts w:hint="eastAsia" w:cs="仿宋_GB2312"/>
          <w:color w:val="000000"/>
        </w:rPr>
      </w:pPr>
      <w:r>
        <w:rPr>
          <w:rFonts w:hint="eastAsia" w:cs="仿宋_GB2312"/>
          <w:color w:val="000000"/>
        </w:rPr>
      </w:r>
      <w:r>
        <w:rPr>
          <w:rFonts w:hint="eastAsia" w:cs="仿宋_GB2312"/>
          <w:color w:val="000000"/>
        </w:rPr>
      </w:r>
    </w:p>
    <w:p>
      <w:pPr>
        <w:pStyle w:val="737"/>
        <w:pBdr/>
        <w:spacing w:line="620" w:lineRule="exact"/>
        <w:ind w:firstLine="640"/>
        <w:rPr>
          <w:color w:val="000000"/>
        </w:rPr>
      </w:pPr>
      <w:r>
        <w:rPr>
          <w:rFonts w:hint="eastAsia" w:cs="仿宋_GB2312"/>
          <w:color w:val="000000"/>
        </w:rPr>
        <w:t xml:space="preserve">坚持优先发展农业农村，</w:t>
      </w:r>
      <w:r>
        <w:rPr>
          <w:rFonts w:hint="eastAsia" w:hAnsi="仿宋" w:cs="仿宋"/>
          <w:color w:val="000000"/>
        </w:rPr>
        <w:t xml:space="preserve">全面实施乡村振兴战略，以产业发展为先导，促进现代农业发展、农民稳定增收和农村面貌改善，加</w:t>
      </w:r>
      <w:r>
        <w:rPr>
          <w:rFonts w:hint="eastAsia" w:cs="仿宋_GB2312"/>
          <w:color w:val="000000"/>
        </w:rPr>
        <w:t xml:space="preserve">快推进农业农村现代化。</w:t>
      </w:r>
      <w:r>
        <w:rPr>
          <w:color w:val="000000"/>
        </w:rPr>
      </w:r>
      <w:r>
        <w:rPr>
          <w:color w:val="000000"/>
        </w:rPr>
      </w:r>
    </w:p>
    <w:p>
      <w:pPr>
        <w:pStyle w:val="737"/>
        <w:pBdr/>
        <w:spacing w:line="620" w:lineRule="exact"/>
        <w:ind w:firstLine="640"/>
        <w:rPr>
          <w:color w:val="000000"/>
        </w:rPr>
      </w:pPr>
      <w:r>
        <w:rPr>
          <w:color w:val="000000"/>
        </w:rPr>
      </w:r>
      <w:r>
        <w:rPr>
          <w:color w:val="000000"/>
        </w:rPr>
      </w:r>
    </w:p>
    <w:p>
      <w:pPr>
        <w:pStyle w:val="739"/>
        <w:pBdr/>
        <w:spacing w:line="620" w:lineRule="exact"/>
        <w:ind w:firstLine="720"/>
        <w:rPr>
          <w:rFonts w:hint="eastAsia" w:ascii="黑体" w:hAnsi="黑体" w:eastAsia="黑体" w:cs="黑体"/>
          <w:b w:val="0"/>
          <w:bCs w:val="0"/>
          <w:color w:val="000000"/>
        </w:rPr>
      </w:pPr>
      <w:r/>
      <w:bookmarkStart w:id="57" w:name="_Toc31237"/>
      <w:r>
        <w:rPr>
          <w:rFonts w:hint="eastAsia" w:ascii="黑体" w:hAnsi="黑体" w:eastAsia="黑体" w:cs="黑体"/>
          <w:b w:val="0"/>
          <w:bCs w:val="0"/>
          <w:color w:val="000000"/>
        </w:rPr>
        <w:t xml:space="preserve">一、大力推进农业现代化</w:t>
      </w:r>
      <w:bookmarkEnd w:id="57"/>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line="620" w:lineRule="exact"/>
        <w:ind w:firstLine="643"/>
        <w:rPr>
          <w:rFonts w:hint="eastAsia" w:cs="仿宋_GB2312"/>
          <w:color w:val="000000"/>
        </w:rPr>
      </w:pPr>
      <w:r>
        <w:rPr>
          <w:rFonts w:hint="eastAsia" w:ascii="楷体_GB2312" w:hAnsi="楷体_GB2312" w:eastAsia="楷体_GB2312" w:cs="楷体_GB2312"/>
          <w:b/>
          <w:bCs/>
          <w:color w:val="000000"/>
        </w:rPr>
        <w:t xml:space="preserve">优化农业结构布局</w:t>
      </w:r>
      <w:r>
        <w:rPr>
          <w:rFonts w:hint="eastAsia" w:cs="仿宋_GB2312"/>
          <w:b/>
          <w:bCs/>
          <w:color w:val="000000"/>
        </w:rPr>
        <w:t xml:space="preserve">。</w:t>
      </w:r>
      <w:r>
        <w:rPr>
          <w:rFonts w:hint="eastAsia" w:cs="仿宋_GB2312"/>
          <w:color w:val="000000"/>
        </w:rPr>
        <w:t xml:space="preserve">依托优势资源</w:t>
      </w:r>
      <w:r>
        <w:rPr>
          <w:rFonts w:hint="eastAsia" w:cs="仿宋_GB2312"/>
          <w:color w:val="000000"/>
          <w:lang w:eastAsia="zh-CN"/>
        </w:rPr>
        <w:t xml:space="preserve">和</w:t>
      </w:r>
      <w:r>
        <w:rPr>
          <w:rFonts w:hint="eastAsia" w:cs="仿宋_GB2312"/>
          <w:color w:val="000000"/>
        </w:rPr>
        <w:t xml:space="preserve">主导产业，建设一批</w:t>
      </w:r>
      <w:r>
        <w:rPr>
          <w:color w:val="000000"/>
        </w:rPr>
        <w:t xml:space="preserve">“</w:t>
      </w:r>
      <w:r>
        <w:rPr>
          <w:rFonts w:hint="eastAsia" w:cs="仿宋_GB2312"/>
          <w:color w:val="000000"/>
        </w:rPr>
        <w:t xml:space="preserve">小而精、特而美</w:t>
      </w:r>
      <w:r>
        <w:rPr>
          <w:color w:val="000000"/>
        </w:rPr>
        <w:t xml:space="preserve">”</w:t>
      </w:r>
      <w:r>
        <w:rPr>
          <w:rFonts w:hint="eastAsia" w:cs="仿宋_GB2312"/>
          <w:color w:val="000000"/>
        </w:rPr>
        <w:t xml:space="preserve">的产业示范村镇，形成一村带数村、多村连成片的发展格局。加快发展设施农业，建设一批布局合理、清洁环保的优质农产品生产基地，引导加工、流通、储运设施向优势产区集聚。支持曾都区、随县、广水市巩固全国产粮大县地位，争创</w:t>
      </w:r>
      <w:r>
        <w:rPr>
          <w:color w:val="000000"/>
        </w:rPr>
        <w:t xml:space="preserve">“</w:t>
      </w:r>
      <w:r>
        <w:rPr>
          <w:rFonts w:hint="eastAsia" w:cs="仿宋_GB2312"/>
          <w:color w:val="000000"/>
        </w:rPr>
        <w:t xml:space="preserve">全国粮食生产标兵县</w:t>
      </w:r>
      <w:r>
        <w:rPr>
          <w:color w:val="000000"/>
        </w:rPr>
        <w:t xml:space="preserve">”</w:t>
      </w:r>
      <w:r>
        <w:rPr>
          <w:rFonts w:hint="eastAsia"/>
          <w:color w:val="000000"/>
        </w:rPr>
        <w:t xml:space="preserve">。鼓励</w:t>
      </w:r>
      <w:r>
        <w:rPr>
          <w:rFonts w:hint="eastAsia" w:ascii="Times New Roman" w:hAnsi="Times New Roman" w:cs="仿宋_GB2312"/>
          <w:color w:val="000000"/>
        </w:rPr>
        <w:t xml:space="preserve">随县打造生猪、肉牛、肉羊生产基地，</w:t>
      </w:r>
      <w:r>
        <w:rPr>
          <w:rFonts w:hint="eastAsia" w:cs="仿宋_GB2312"/>
          <w:color w:val="000000"/>
        </w:rPr>
        <w:t xml:space="preserve">广水发展生猪、肉鸭、肉鸽生产基地，曾都区联合随州高新区形成肉鸡、蜂产品生产基地。</w:t>
      </w:r>
      <w:r>
        <w:rPr>
          <w:rFonts w:hint="eastAsia" w:cs="仿宋_GB2312"/>
          <w:color w:val="000000"/>
        </w:rPr>
      </w:r>
      <w:r>
        <w:rPr>
          <w:rFonts w:hint="eastAsia" w:cs="仿宋_GB2312"/>
          <w:color w:val="000000"/>
        </w:rPr>
      </w:r>
    </w:p>
    <w:p>
      <w:pPr>
        <w:pStyle w:val="737"/>
        <w:pBdr/>
        <w:spacing w:line="620" w:lineRule="exact"/>
        <w:ind w:firstLine="643"/>
        <w:rPr>
          <w:color w:val="000000"/>
        </w:rPr>
      </w:pPr>
      <w:r>
        <w:rPr>
          <w:rFonts w:hint="eastAsia" w:ascii="楷体_GB2312" w:hAnsi="楷体_GB2312" w:eastAsia="楷体_GB2312" w:cs="楷体_GB2312"/>
          <w:b/>
          <w:bCs/>
          <w:color w:val="000000"/>
        </w:rPr>
        <w:t xml:space="preserve">做大做强优势农产品</w:t>
      </w:r>
      <w:r>
        <w:rPr>
          <w:rFonts w:hint="eastAsia" w:cs="仿宋_GB2312"/>
          <w:color w:val="000000"/>
        </w:rPr>
        <w:t xml:space="preserve">。围绕基地建设、主体培育、品牌创建等重点任务，统筹减化肥、减农药、减成本，提升农业品种、品质、品牌，</w:t>
      </w:r>
      <w:r>
        <w:rPr>
          <w:rFonts w:hint="eastAsia" w:cs="仿宋_GB2312"/>
          <w:color w:val="000000"/>
          <w:lang w:eastAsia="zh-CN"/>
        </w:rPr>
        <w:t xml:space="preserve">发展</w:t>
      </w:r>
      <w:r>
        <w:rPr>
          <w:rFonts w:hint="eastAsia" w:cs="仿宋_GB2312"/>
          <w:color w:val="000000"/>
        </w:rPr>
        <w:t xml:space="preserve">资源节约型、生态友好型、优质高效型</w:t>
      </w:r>
      <w:r>
        <w:rPr>
          <w:rFonts w:hint="eastAsia" w:cs="仿宋_GB2312"/>
          <w:color w:val="000000"/>
          <w:lang w:eastAsia="zh-CN"/>
        </w:rPr>
        <w:t xml:space="preserve">农业</w:t>
      </w:r>
      <w:r>
        <w:rPr>
          <w:rFonts w:hint="eastAsia" w:cs="仿宋_GB2312"/>
          <w:color w:val="000000"/>
        </w:rPr>
        <w:t xml:space="preserve">，</w:t>
      </w:r>
      <w:r>
        <w:rPr>
          <w:rFonts w:hint="eastAsia" w:cs="仿宋_GB2312"/>
          <w:color w:val="000000"/>
          <w:lang w:eastAsia="zh-CN"/>
        </w:rPr>
        <w:t xml:space="preserve">推动</w:t>
      </w:r>
      <w:r>
        <w:rPr>
          <w:rFonts w:hint="eastAsia" w:cs="仿宋_GB2312"/>
          <w:color w:val="000000"/>
        </w:rPr>
        <w:t xml:space="preserve">优势农产品做大做强</w:t>
      </w:r>
      <w:r>
        <w:rPr>
          <w:rFonts w:hint="eastAsia" w:cs="仿宋_GB2312"/>
          <w:color w:val="000000"/>
          <w:lang w:eastAsia="zh-CN"/>
        </w:rPr>
        <w:t xml:space="preserve">，实现</w:t>
      </w:r>
      <w:r>
        <w:rPr>
          <w:rFonts w:hint="eastAsia" w:cs="仿宋_GB2312"/>
          <w:color w:val="000000"/>
        </w:rPr>
        <w:t xml:space="preserve">增产、增质、增效。</w:t>
      </w:r>
      <w:r>
        <w:rPr>
          <w:color w:val="000000"/>
        </w:rPr>
      </w:r>
      <w:r>
        <w:rPr>
          <w:color w:val="000000"/>
        </w:rPr>
      </w:r>
    </w:p>
    <w:p>
      <w:pPr>
        <w:pStyle w:val="737"/>
        <w:pBdr/>
        <w:spacing w:line="620" w:lineRule="exact"/>
        <w:ind w:firstLine="643"/>
        <w:rPr>
          <w:color w:val="000000"/>
        </w:rPr>
      </w:pPr>
      <w:r>
        <w:rPr>
          <w:rFonts w:hint="eastAsia" w:ascii="宋体" w:hAnsi="宋体" w:eastAsia="宋体" w:cs="宋体"/>
          <w:b/>
          <w:bCs/>
          <w:color w:val="000000"/>
        </w:rPr>
        <w:t xml:space="preserve">——</w:t>
      </w:r>
      <w:r>
        <w:rPr>
          <w:rFonts w:hint="eastAsia" w:cs="仿宋_GB2312"/>
          <w:b/>
          <w:bCs/>
          <w:color w:val="000000"/>
        </w:rPr>
        <w:t xml:space="preserve">香菇。</w:t>
      </w:r>
      <w:r>
        <w:rPr>
          <w:rFonts w:hint="eastAsia" w:cs="仿宋_GB2312"/>
          <w:color w:val="000000"/>
        </w:rPr>
        <w:t xml:space="preserve">支持长久菌业、宝蕈菌业、耀兴大海等菌种繁育企业与中科院农业资源研究所、上海农科院食用菌研究所、华中农业大学应用真菌研究所等国内顶尖的菌种研发机构开展深度合作，联合兴办高起点菌种研发实体，重点培育</w:t>
      </w:r>
      <w:r>
        <w:rPr>
          <w:color w:val="000000"/>
        </w:rPr>
        <w:t xml:space="preserve">10</w:t>
      </w:r>
      <w:r>
        <w:rPr>
          <w:rFonts w:hint="eastAsia" w:cs="仿宋_GB2312"/>
          <w:color w:val="000000"/>
        </w:rPr>
        <w:t xml:space="preserve">家规范化、标准化、抗风险能力强的菌种繁育企业，建成全国重要的香菇菌种研发基地和推广中心。加强菇耳林培植和香菇替代原料研发利用，加强麸皮、石膏、磷酸二氢钾等添加剂质量管控。加快推进</w:t>
      </w:r>
      <w:r>
        <w:rPr>
          <w:color w:val="000000"/>
        </w:rPr>
        <w:t xml:space="preserve">“</w:t>
      </w:r>
      <w:r>
        <w:rPr>
          <w:rFonts w:hint="eastAsia" w:cs="仿宋_GB2312"/>
          <w:color w:val="000000"/>
        </w:rPr>
        <w:t xml:space="preserve">集中制棒</w:t>
      </w:r>
      <w:r>
        <w:rPr>
          <w:color w:val="000000"/>
        </w:rPr>
        <w:t xml:space="preserve">”“</w:t>
      </w:r>
      <w:r>
        <w:rPr>
          <w:rFonts w:hint="eastAsia" w:cs="仿宋_GB2312"/>
          <w:color w:val="000000"/>
        </w:rPr>
        <w:t xml:space="preserve">无残（留）烘干</w:t>
      </w:r>
      <w:r>
        <w:rPr>
          <w:color w:val="000000"/>
        </w:rPr>
        <w:t xml:space="preserve">”“</w:t>
      </w:r>
      <w:r>
        <w:rPr>
          <w:rFonts w:hint="eastAsia" w:cs="仿宋_GB2312"/>
          <w:color w:val="000000"/>
        </w:rPr>
        <w:t xml:space="preserve">冷藏保鲜</w:t>
      </w:r>
      <w:r>
        <w:rPr>
          <w:color w:val="000000"/>
        </w:rPr>
        <w:t xml:space="preserve">”</w:t>
      </w:r>
      <w:r>
        <w:rPr>
          <w:rFonts w:hint="eastAsia" w:cs="仿宋_GB2312"/>
          <w:color w:val="000000"/>
        </w:rPr>
        <w:t xml:space="preserve">标准化生产。加速推广</w:t>
      </w:r>
      <w:r>
        <w:rPr>
          <w:color w:val="000000"/>
        </w:rPr>
        <w:t xml:space="preserve">“</w:t>
      </w:r>
      <w:r>
        <w:rPr>
          <w:rFonts w:hint="eastAsia" w:cs="仿宋_GB2312"/>
          <w:color w:val="000000"/>
        </w:rPr>
        <w:t xml:space="preserve">村集体</w:t>
      </w:r>
      <w:r>
        <w:rPr>
          <w:color w:val="000000"/>
        </w:rPr>
        <w:t xml:space="preserve">+</w:t>
      </w:r>
      <w:r>
        <w:rPr>
          <w:rFonts w:hint="eastAsia" w:cs="仿宋_GB2312"/>
          <w:color w:val="000000"/>
        </w:rPr>
        <w:t xml:space="preserve">种菇能人（大户）</w:t>
      </w:r>
      <w:r>
        <w:rPr>
          <w:color w:val="000000"/>
        </w:rPr>
        <w:t xml:space="preserve">+</w:t>
      </w:r>
      <w:r>
        <w:rPr>
          <w:rFonts w:hint="eastAsia" w:cs="仿宋_GB2312"/>
          <w:color w:val="000000"/>
        </w:rPr>
        <w:t xml:space="preserve">农户（自愿）</w:t>
      </w:r>
      <w:r>
        <w:rPr>
          <w:color w:val="000000"/>
        </w:rPr>
        <w:t xml:space="preserve">+</w:t>
      </w:r>
      <w:r>
        <w:rPr>
          <w:rFonts w:hint="eastAsia" w:cs="仿宋_GB2312"/>
          <w:color w:val="000000"/>
        </w:rPr>
        <w:t xml:space="preserve">村干部</w:t>
      </w:r>
      <w:r>
        <w:rPr>
          <w:color w:val="000000"/>
        </w:rPr>
        <w:t xml:space="preserve">”</w:t>
      </w:r>
      <w:r>
        <w:rPr>
          <w:rFonts w:hint="eastAsia" w:cs="仿宋_GB2312"/>
          <w:color w:val="000000"/>
        </w:rPr>
        <w:t xml:space="preserve">股份合作模式，建成</w:t>
      </w:r>
      <w:r>
        <w:rPr>
          <w:color w:val="000000"/>
        </w:rPr>
        <w:t xml:space="preserve">3</w:t>
      </w:r>
      <w:r>
        <w:rPr>
          <w:rFonts w:hint="eastAsia" w:cs="仿宋_GB2312"/>
          <w:color w:val="000000"/>
        </w:rPr>
        <w:t xml:space="preserve">条标准化、规模化香菇产业走廊。到</w:t>
      </w:r>
      <w:r>
        <w:rPr>
          <w:color w:val="000000"/>
        </w:rPr>
        <w:t xml:space="preserve">2025</w:t>
      </w:r>
      <w:r>
        <w:rPr>
          <w:rFonts w:hint="eastAsia" w:cs="仿宋_GB2312"/>
          <w:color w:val="000000"/>
        </w:rPr>
        <w:t xml:space="preserve">年，力争食用菌年总种植量稳定在</w:t>
      </w:r>
      <w:r>
        <w:rPr>
          <w:rFonts w:hint="eastAsia"/>
          <w:color w:val="000000"/>
          <w:lang w:val="en-US"/>
        </w:rPr>
        <w:t xml:space="preserve">5</w:t>
      </w:r>
      <w:r>
        <w:rPr>
          <w:rFonts w:hint="eastAsia" w:cs="仿宋_GB2312"/>
          <w:color w:val="000000"/>
        </w:rPr>
        <w:t xml:space="preserve">亿袋以上，总产量（折干菇）</w:t>
      </w:r>
      <w:r>
        <w:rPr>
          <w:rFonts w:hint="eastAsia"/>
          <w:color w:val="000000"/>
          <w:lang w:val="en-US"/>
        </w:rPr>
        <w:t xml:space="preserve">10</w:t>
      </w:r>
      <w:r>
        <w:rPr>
          <w:rFonts w:hint="eastAsia" w:cs="仿宋_GB2312"/>
          <w:color w:val="000000"/>
        </w:rPr>
        <w:t xml:space="preserve">万吨以上。</w:t>
      </w:r>
      <w:r>
        <w:rPr>
          <w:color w:val="000000"/>
        </w:rPr>
      </w:r>
      <w:r>
        <w:rPr>
          <w:color w:val="000000"/>
        </w:rPr>
      </w:r>
    </w:p>
    <w:p>
      <w:pPr>
        <w:pStyle w:val="737"/>
        <w:pBdr/>
        <w:spacing w:line="620" w:lineRule="exact"/>
        <w:ind w:firstLine="643"/>
        <w:rPr>
          <w:color w:val="000000"/>
        </w:rPr>
      </w:pPr>
      <w:r>
        <w:rPr>
          <w:rFonts w:hint="eastAsia" w:ascii="宋体" w:hAnsi="宋体" w:eastAsia="宋体" w:cs="宋体"/>
          <w:b/>
          <w:bCs/>
          <w:color w:val="000000"/>
        </w:rPr>
        <w:t xml:space="preserve">——</w:t>
      </w:r>
      <w:r>
        <w:rPr>
          <w:rFonts w:hint="eastAsia" w:cs="仿宋_GB2312"/>
          <w:b/>
          <w:bCs/>
          <w:color w:val="000000"/>
        </w:rPr>
        <w:t xml:space="preserve">香稻。</w:t>
      </w:r>
      <w:r>
        <w:rPr>
          <w:rFonts w:hint="eastAsia" w:cs="仿宋_GB2312"/>
          <w:color w:val="000000"/>
        </w:rPr>
        <w:t xml:space="preserve">以</w:t>
      </w:r>
      <w:r>
        <w:rPr>
          <w:color w:val="000000"/>
        </w:rPr>
        <w:t xml:space="preserve">“</w:t>
      </w:r>
      <w:r>
        <w:rPr>
          <w:rFonts w:hint="eastAsia" w:cs="仿宋_GB2312"/>
          <w:color w:val="000000"/>
        </w:rPr>
        <w:t xml:space="preserve">龙头企业</w:t>
      </w:r>
      <w:r>
        <w:rPr>
          <w:color w:val="000000"/>
        </w:rPr>
        <w:t xml:space="preserve">+</w:t>
      </w:r>
      <w:r>
        <w:rPr>
          <w:rFonts w:hint="eastAsia" w:cs="仿宋_GB2312"/>
          <w:color w:val="000000"/>
        </w:rPr>
        <w:t xml:space="preserve">协会</w:t>
      </w:r>
      <w:r>
        <w:rPr>
          <w:color w:val="000000"/>
        </w:rPr>
        <w:t xml:space="preserve">+</w:t>
      </w:r>
      <w:r>
        <w:rPr>
          <w:rFonts w:hint="eastAsia" w:cs="仿宋_GB2312"/>
          <w:color w:val="000000"/>
        </w:rPr>
        <w:t xml:space="preserve">专业合作社（家庭农场）</w:t>
      </w:r>
      <w:r>
        <w:rPr>
          <w:color w:val="000000"/>
        </w:rPr>
        <w:t xml:space="preserve">+</w:t>
      </w:r>
      <w:r>
        <w:rPr>
          <w:rFonts w:hint="eastAsia" w:cs="仿宋_GB2312"/>
          <w:color w:val="000000"/>
        </w:rPr>
        <w:t xml:space="preserve">基地</w:t>
      </w:r>
      <w:r>
        <w:rPr>
          <w:color w:val="000000"/>
        </w:rPr>
        <w:t xml:space="preserve">”</w:t>
      </w:r>
      <w:r>
        <w:rPr>
          <w:rFonts w:hint="eastAsia" w:cs="仿宋_GB2312"/>
          <w:color w:val="000000"/>
        </w:rPr>
        <w:t xml:space="preserve">为主体，继续推进</w:t>
      </w:r>
      <w:r>
        <w:rPr>
          <w:color w:val="000000"/>
        </w:rPr>
        <w:t xml:space="preserve">“</w:t>
      </w:r>
      <w:r>
        <w:rPr>
          <w:rFonts w:hint="eastAsia" w:cs="仿宋_GB2312"/>
          <w:color w:val="000000"/>
        </w:rPr>
        <w:t xml:space="preserve">双订单</w:t>
      </w:r>
      <w:r>
        <w:rPr>
          <w:color w:val="000000"/>
        </w:rPr>
        <w:t xml:space="preserve">”</w:t>
      </w:r>
      <w:r>
        <w:rPr>
          <w:rFonts w:hint="eastAsia" w:cs="仿宋_GB2312"/>
          <w:color w:val="000000"/>
        </w:rPr>
        <w:t xml:space="preserve">产销模式，加快引进、筛选、推广适宜我市种植的优质粮新品种，逐渐扩大规模化订单种植基地。到</w:t>
      </w:r>
      <w:r>
        <w:rPr>
          <w:color w:val="000000"/>
        </w:rPr>
        <w:t xml:space="preserve">2025</w:t>
      </w:r>
      <w:r>
        <w:rPr>
          <w:rFonts w:hint="eastAsia" w:cs="仿宋_GB2312"/>
          <w:color w:val="000000"/>
        </w:rPr>
        <w:t xml:space="preserve">年，力争全市粮食作物面积稳定在</w:t>
      </w:r>
      <w:r>
        <w:rPr>
          <w:color w:val="000000"/>
        </w:rPr>
        <w:t xml:space="preserve">300</w:t>
      </w:r>
      <w:r>
        <w:rPr>
          <w:rFonts w:hint="eastAsia" w:cs="仿宋_GB2312"/>
          <w:color w:val="000000"/>
        </w:rPr>
        <w:t xml:space="preserve">万亩，其中</w:t>
      </w:r>
      <w:r>
        <w:rPr>
          <w:color w:val="000000"/>
        </w:rPr>
        <w:t xml:space="preserve">“</w:t>
      </w:r>
      <w:r>
        <w:rPr>
          <w:rFonts w:hint="eastAsia" w:cs="仿宋_GB2312"/>
          <w:color w:val="000000"/>
        </w:rPr>
        <w:t xml:space="preserve">随州香稻</w:t>
      </w:r>
      <w:r>
        <w:rPr>
          <w:color w:val="000000"/>
        </w:rPr>
        <w:t xml:space="preserve">”</w:t>
      </w:r>
      <w:r>
        <w:rPr>
          <w:rFonts w:hint="eastAsia" w:cs="仿宋_GB2312"/>
          <w:color w:val="000000"/>
        </w:rPr>
        <w:t xml:space="preserve">种植面积扩大到</w:t>
      </w:r>
      <w:r>
        <w:rPr>
          <w:color w:val="000000"/>
        </w:rPr>
        <w:t xml:space="preserve">1</w:t>
      </w:r>
      <w:r>
        <w:rPr>
          <w:rFonts w:hint="eastAsia"/>
          <w:color w:val="000000"/>
          <w:lang w:val="en-US"/>
        </w:rPr>
        <w:t xml:space="preserve">0</w:t>
      </w:r>
      <w:r>
        <w:rPr>
          <w:color w:val="000000"/>
        </w:rPr>
        <w:t xml:space="preserve">0</w:t>
      </w:r>
      <w:r>
        <w:rPr>
          <w:rFonts w:hint="eastAsia" w:cs="仿宋_GB2312"/>
          <w:color w:val="000000"/>
        </w:rPr>
        <w:t xml:space="preserve">万亩以上，年总产量</w:t>
      </w:r>
      <w:r>
        <w:rPr>
          <w:rFonts w:hint="eastAsia"/>
          <w:color w:val="000000"/>
          <w:lang w:val="en-US"/>
        </w:rPr>
        <w:t xml:space="preserve">55</w:t>
      </w:r>
      <w:r>
        <w:rPr>
          <w:rFonts w:hint="eastAsia" w:cs="仿宋_GB2312"/>
          <w:color w:val="000000"/>
        </w:rPr>
        <w:t xml:space="preserve">万吨以上。</w:t>
      </w:r>
      <w:r>
        <w:rPr>
          <w:color w:val="000000"/>
        </w:rPr>
      </w:r>
      <w:r>
        <w:rPr>
          <w:color w:val="000000"/>
        </w:rPr>
      </w:r>
    </w:p>
    <w:p>
      <w:pPr>
        <w:pStyle w:val="737"/>
        <w:pBdr/>
        <w:spacing/>
        <w:ind w:firstLine="643"/>
        <w:rPr>
          <w:rFonts w:hint="eastAsia" w:cs="仿宋_GB2312"/>
          <w:color w:val="000000"/>
        </w:rPr>
      </w:pPr>
      <w:r>
        <w:rPr>
          <w:rFonts w:hint="eastAsia" w:ascii="宋体" w:hAnsi="宋体" w:eastAsia="宋体" w:cs="宋体"/>
          <w:b/>
          <w:bCs/>
          <w:color w:val="000000"/>
        </w:rPr>
        <w:t xml:space="preserve">——</w:t>
      </w:r>
      <w:r>
        <w:rPr>
          <w:rFonts w:hint="eastAsia" w:cs="仿宋_GB2312"/>
          <w:b/>
          <w:bCs/>
          <w:color w:val="000000"/>
          <w:lang w:val="en-US"/>
        </w:rPr>
        <w:t xml:space="preserve">果蔬。</w:t>
      </w:r>
      <w:r>
        <w:rPr>
          <w:rFonts w:hint="eastAsia" w:cs="仿宋_GB2312"/>
          <w:color w:val="000000"/>
        </w:rPr>
        <w:t xml:space="preserve">围绕“</w:t>
      </w:r>
      <w:r>
        <w:rPr>
          <w:rFonts w:hint="eastAsia" w:cs="仿宋_GB2312"/>
          <w:color w:val="000000"/>
          <w:lang w:val="en-US"/>
        </w:rPr>
        <w:t xml:space="preserve">随州蓝莓</w:t>
      </w:r>
      <w:r>
        <w:rPr>
          <w:rFonts w:hint="eastAsia" w:cs="仿宋_GB2312"/>
          <w:color w:val="000000"/>
        </w:rPr>
        <w:t xml:space="preserve">”“</w:t>
      </w:r>
      <w:r>
        <w:rPr>
          <w:rFonts w:hint="eastAsia" w:cs="仿宋_GB2312"/>
          <w:color w:val="000000"/>
          <w:lang w:val="en-US"/>
        </w:rPr>
        <w:t xml:space="preserve">随县</w:t>
      </w:r>
      <w:r>
        <w:rPr>
          <w:rFonts w:hint="eastAsia" w:cs="仿宋_GB2312"/>
          <w:color w:val="000000"/>
        </w:rPr>
        <w:t xml:space="preserve">油桃”“广水猕猴桃”“随州泡泡青”“随州绿茄”“三白蔬菜”“吉阳大蒜”等地方特色农产品</w:t>
      </w:r>
      <w:r>
        <w:rPr>
          <w:rFonts w:hint="eastAsia" w:cs="仿宋_GB2312"/>
          <w:color w:val="000000"/>
          <w:lang w:val="en-US"/>
        </w:rPr>
        <w:t xml:space="preserve">发展</w:t>
      </w:r>
      <w:r>
        <w:rPr>
          <w:rFonts w:hint="eastAsia" w:cs="仿宋_GB2312"/>
          <w:color w:val="000000"/>
        </w:rPr>
        <w:t xml:space="preserve">，加快品质改良和品种结构调整，扩大种植面积。</w:t>
      </w:r>
      <w:r>
        <w:rPr>
          <w:rFonts w:hint="eastAsia" w:cs="仿宋_GB2312"/>
          <w:color w:val="000000"/>
          <w:lang w:val="en-US"/>
        </w:rPr>
        <w:t xml:space="preserve">持续</w:t>
      </w:r>
      <w:r>
        <w:rPr>
          <w:rFonts w:hint="eastAsia" w:cs="仿宋_GB2312"/>
          <w:color w:val="000000"/>
        </w:rPr>
        <w:t xml:space="preserve">推广“春提早、秋延后”和日光温室反季节大棚蔬菜生产，确保“菜篮子”产品有效供给。到2025年，力争全市优质水果基地达到10万亩、蔬菜面积达到60万亩。</w:t>
      </w:r>
      <w:r>
        <w:rPr>
          <w:rFonts w:hint="eastAsia" w:cs="仿宋_GB2312"/>
          <w:color w:val="000000"/>
        </w:rPr>
      </w:r>
      <w:r>
        <w:rPr>
          <w:rFonts w:hint="eastAsia" w:cs="仿宋_GB2312"/>
          <w:color w:val="000000"/>
        </w:rPr>
      </w:r>
    </w:p>
    <w:p>
      <w:pPr>
        <w:pStyle w:val="737"/>
        <w:pBdr/>
        <w:spacing w:line="620" w:lineRule="exact"/>
        <w:ind w:firstLine="643"/>
        <w:rPr>
          <w:color w:val="000000"/>
        </w:rPr>
      </w:pPr>
      <w:r>
        <w:rPr>
          <w:rFonts w:hint="eastAsia" w:ascii="宋体" w:hAnsi="宋体" w:eastAsia="宋体" w:cs="宋体"/>
          <w:b/>
          <w:bCs/>
          <w:color w:val="000000"/>
        </w:rPr>
        <w:t xml:space="preserve">——</w:t>
      </w:r>
      <w:r>
        <w:rPr>
          <w:rFonts w:hint="eastAsia" w:cs="仿宋_GB2312"/>
          <w:b/>
          <w:bCs/>
          <w:color w:val="000000"/>
        </w:rPr>
        <w:t xml:space="preserve">食用油料。</w:t>
      </w:r>
      <w:r>
        <w:rPr>
          <w:rFonts w:hint="eastAsia" w:cs="仿宋_GB2312"/>
          <w:color w:val="000000"/>
          <w:lang w:val="en-US"/>
        </w:rPr>
        <w:t xml:space="preserve">加快油菜机播机收技术推广，扩大优质油菜种植面积，到</w:t>
      </w:r>
      <w:r>
        <w:rPr>
          <w:color w:val="000000"/>
          <w:lang w:val="en-US"/>
        </w:rPr>
        <w:t xml:space="preserve">2025</w:t>
      </w:r>
      <w:r>
        <w:rPr>
          <w:rFonts w:hint="eastAsia" w:cs="仿宋_GB2312"/>
          <w:color w:val="000000"/>
          <w:lang w:val="en-US"/>
        </w:rPr>
        <w:t xml:space="preserve">年，力争全市油料面积达到</w:t>
      </w:r>
      <w:r>
        <w:rPr>
          <w:color w:val="000000"/>
          <w:lang w:val="en-US"/>
        </w:rPr>
        <w:t xml:space="preserve">100</w:t>
      </w:r>
      <w:r>
        <w:rPr>
          <w:rFonts w:hint="eastAsia" w:cs="仿宋_GB2312"/>
          <w:color w:val="000000"/>
          <w:lang w:val="en-US"/>
        </w:rPr>
        <w:t xml:space="preserve">万亩，其中优质油菜面积</w:t>
      </w:r>
      <w:r>
        <w:rPr>
          <w:color w:val="000000"/>
          <w:lang w:val="en-US"/>
        </w:rPr>
        <w:t xml:space="preserve">40</w:t>
      </w:r>
      <w:r>
        <w:rPr>
          <w:rFonts w:hint="eastAsia" w:cs="仿宋_GB2312"/>
          <w:color w:val="000000"/>
          <w:lang w:val="en-US"/>
        </w:rPr>
        <w:t xml:space="preserve">万亩，年总产量</w:t>
      </w:r>
      <w:r>
        <w:rPr>
          <w:color w:val="000000"/>
          <w:lang w:val="en-US"/>
        </w:rPr>
        <w:t xml:space="preserve">6</w:t>
      </w:r>
      <w:r>
        <w:rPr>
          <w:rFonts w:hint="eastAsia" w:cs="仿宋_GB2312"/>
          <w:color w:val="000000"/>
          <w:lang w:val="en-US"/>
        </w:rPr>
        <w:t xml:space="preserve">万吨。</w:t>
      </w:r>
      <w:r>
        <w:rPr>
          <w:rFonts w:hint="eastAsia" w:cs="仿宋_GB2312"/>
          <w:color w:val="000000"/>
        </w:rPr>
        <w:t xml:space="preserve">依托</w:t>
      </w:r>
      <w:r>
        <w:rPr>
          <w:color w:val="000000"/>
        </w:rPr>
        <w:t xml:space="preserve">“</w:t>
      </w:r>
      <w:r>
        <w:rPr>
          <w:rFonts w:hint="eastAsia" w:cs="仿宋_GB2312"/>
          <w:color w:val="000000"/>
        </w:rPr>
        <w:t xml:space="preserve">龙头企业</w:t>
      </w:r>
      <w:r>
        <w:rPr>
          <w:color w:val="000000"/>
        </w:rPr>
        <w:t xml:space="preserve">+</w:t>
      </w:r>
      <w:r>
        <w:rPr>
          <w:rFonts w:hint="eastAsia" w:cs="仿宋_GB2312"/>
          <w:color w:val="000000"/>
        </w:rPr>
        <w:t xml:space="preserve">基地</w:t>
      </w:r>
      <w:r>
        <w:rPr>
          <w:color w:val="000000"/>
        </w:rPr>
        <w:t xml:space="preserve">+</w:t>
      </w:r>
      <w:r>
        <w:rPr>
          <w:rFonts w:hint="eastAsia" w:cs="仿宋_GB2312"/>
          <w:color w:val="000000"/>
        </w:rPr>
        <w:t xml:space="preserve">农户</w:t>
      </w:r>
      <w:r>
        <w:rPr>
          <w:color w:val="000000"/>
        </w:rPr>
        <w:t xml:space="preserve">”</w:t>
      </w:r>
      <w:r>
        <w:rPr>
          <w:rFonts w:hint="eastAsia" w:cs="仿宋_GB2312"/>
          <w:color w:val="000000"/>
        </w:rPr>
        <w:t xml:space="preserve">模式，继续加快低丘岗地改造，加强标准化油茶基地建设，到</w:t>
      </w:r>
      <w:r>
        <w:rPr>
          <w:color w:val="000000"/>
        </w:rPr>
        <w:t xml:space="preserve">2025</w:t>
      </w:r>
      <w:r>
        <w:rPr>
          <w:rFonts w:hint="eastAsia" w:cs="仿宋_GB2312"/>
          <w:color w:val="000000"/>
        </w:rPr>
        <w:t xml:space="preserve">年，力争全市油茶面积达到</w:t>
      </w:r>
      <w:r>
        <w:rPr>
          <w:color w:val="000000"/>
        </w:rPr>
        <w:t xml:space="preserve">60</w:t>
      </w:r>
      <w:r>
        <w:rPr>
          <w:rFonts w:hint="eastAsia" w:cs="仿宋_GB2312"/>
          <w:color w:val="000000"/>
        </w:rPr>
        <w:t xml:space="preserve">万亩，年总产量</w:t>
      </w:r>
      <w:r>
        <w:rPr>
          <w:color w:val="000000"/>
        </w:rPr>
        <w:t xml:space="preserve">2.5</w:t>
      </w:r>
      <w:r>
        <w:rPr>
          <w:rFonts w:hint="eastAsia" w:cs="仿宋_GB2312"/>
          <w:color w:val="000000"/>
        </w:rPr>
        <w:t xml:space="preserve">万吨。</w:t>
      </w:r>
      <w:r>
        <w:rPr>
          <w:color w:val="000000"/>
        </w:rPr>
      </w:r>
      <w:r>
        <w:rPr>
          <w:color w:val="000000"/>
        </w:rPr>
      </w:r>
    </w:p>
    <w:p>
      <w:pPr>
        <w:pStyle w:val="737"/>
        <w:pBdr/>
        <w:spacing w:line="620" w:lineRule="exact"/>
        <w:ind w:firstLine="643"/>
        <w:rPr>
          <w:color w:val="000000"/>
        </w:rPr>
      </w:pPr>
      <w:r>
        <w:rPr>
          <w:rFonts w:hint="eastAsia" w:ascii="宋体" w:hAnsi="宋体" w:eastAsia="宋体" w:cs="宋体"/>
          <w:b/>
          <w:bCs/>
          <w:color w:val="000000"/>
        </w:rPr>
        <w:t xml:space="preserve">——</w:t>
      </w:r>
      <w:r>
        <w:rPr>
          <w:rFonts w:hint="eastAsia" w:cs="仿宋_GB2312"/>
          <w:b/>
          <w:bCs/>
          <w:color w:val="000000"/>
        </w:rPr>
        <w:t xml:space="preserve">茶叶。</w:t>
      </w:r>
      <w:r>
        <w:rPr>
          <w:rFonts w:hint="eastAsia" w:cs="仿宋_GB2312"/>
          <w:color w:val="000000"/>
        </w:rPr>
        <w:t xml:space="preserve">实施茶叶良种优化改造工程，进一步提高无性系良种茶园比重，继续深化有机绿色茶园建设，打造规模化、专业化、标准化生态茶园</w:t>
      </w:r>
      <w:r>
        <w:rPr>
          <w:color w:val="000000"/>
        </w:rPr>
        <w:t xml:space="preserve">1</w:t>
      </w:r>
      <w:r>
        <w:rPr>
          <w:rFonts w:hint="eastAsia"/>
          <w:color w:val="000000"/>
          <w:lang w:val="en-US"/>
        </w:rPr>
        <w:t xml:space="preserve">2</w:t>
      </w:r>
      <w:r>
        <w:rPr>
          <w:rFonts w:hint="eastAsia" w:cs="仿宋_GB2312"/>
          <w:color w:val="000000"/>
        </w:rPr>
        <w:t xml:space="preserve">万亩，打造全省最大的茶叶出口基地。</w:t>
      </w:r>
      <w:r>
        <w:rPr>
          <w:color w:val="000000"/>
        </w:rPr>
      </w:r>
      <w:r>
        <w:rPr>
          <w:color w:val="000000"/>
        </w:rPr>
      </w:r>
    </w:p>
    <w:p>
      <w:pPr>
        <w:pStyle w:val="737"/>
        <w:pBdr/>
        <w:spacing w:line="620" w:lineRule="exact"/>
        <w:ind w:firstLine="643"/>
        <w:rPr>
          <w:b/>
          <w:bCs/>
          <w:color w:val="000000"/>
        </w:rPr>
      </w:pPr>
      <w:r>
        <w:rPr>
          <w:rFonts w:hint="eastAsia" w:ascii="宋体" w:hAnsi="宋体" w:eastAsia="宋体" w:cs="宋体"/>
          <w:b/>
          <w:bCs/>
          <w:color w:val="000000"/>
        </w:rPr>
        <w:t xml:space="preserve">——</w:t>
      </w:r>
      <w:r>
        <w:rPr>
          <w:rFonts w:hint="eastAsia" w:cs="仿宋_GB2312"/>
          <w:b/>
          <w:bCs/>
          <w:color w:val="000000"/>
        </w:rPr>
        <w:t xml:space="preserve">兰花。</w:t>
      </w:r>
      <w:r>
        <w:rPr>
          <w:rFonts w:hint="eastAsia" w:ascii="Times New Roman" w:hAnsi="Times New Roman" w:cs="仿宋_GB2312"/>
          <w:color w:val="000000"/>
        </w:rPr>
        <w:t xml:space="preserve">擦亮“</w:t>
      </w:r>
      <w:r>
        <w:rPr>
          <w:rFonts w:hint="eastAsia" w:cs="仿宋_GB2312"/>
          <w:color w:val="000000"/>
          <w:lang w:val="en-US"/>
        </w:rPr>
        <w:t xml:space="preserve">中国蕙兰之乡”金字招牌，推广兰花种植，打造万和镇、大洪山区域等2大兰花种植基地，打造国家级兰花产业园，建成全国最大、最全、最高品质的兰花生产基地和交易集散中心。</w:t>
      </w:r>
      <w:r>
        <w:rPr>
          <w:b/>
          <w:bCs/>
          <w:color w:val="000000"/>
        </w:rPr>
      </w:r>
      <w:r>
        <w:rPr>
          <w:b/>
          <w:bCs/>
          <w:color w:val="000000"/>
        </w:rPr>
      </w:r>
    </w:p>
    <w:p>
      <w:pPr>
        <w:pStyle w:val="737"/>
        <w:pBdr/>
        <w:spacing w:line="620" w:lineRule="exact"/>
        <w:ind w:firstLine="643"/>
        <w:rPr>
          <w:color w:val="000000"/>
        </w:rPr>
      </w:pPr>
      <w:r>
        <w:rPr>
          <w:rFonts w:hint="eastAsia" w:ascii="宋体" w:hAnsi="宋体" w:eastAsia="宋体" w:cs="宋体"/>
          <w:b/>
          <w:bCs/>
          <w:color w:val="000000"/>
        </w:rPr>
        <w:t xml:space="preserve">——</w:t>
      </w:r>
      <w:r>
        <w:rPr>
          <w:rFonts w:hint="eastAsia" w:cs="仿宋_GB2312"/>
          <w:b/>
          <w:bCs/>
          <w:color w:val="000000"/>
        </w:rPr>
        <w:t xml:space="preserve">中药材。</w:t>
      </w:r>
      <w:r>
        <w:rPr>
          <w:rFonts w:hint="eastAsia" w:cs="仿宋_GB2312"/>
          <w:color w:val="000000"/>
        </w:rPr>
        <w:t xml:space="preserve">重点加快金头蜈蚣、金银花、银杏叶、艾叶、虎杖、夏枯球、重楼、牡丹、瓜蒌等极具我市特色的道地中药材基地建设，举办全国性的神农中医药发展论坛。到</w:t>
      </w:r>
      <w:r>
        <w:rPr>
          <w:color w:val="000000"/>
        </w:rPr>
        <w:t xml:space="preserve">2025</w:t>
      </w:r>
      <w:r>
        <w:rPr>
          <w:rFonts w:hint="eastAsia" w:cs="仿宋_GB2312"/>
          <w:color w:val="000000"/>
        </w:rPr>
        <w:t xml:space="preserve">年，力争全市中药材种植面积达到</w:t>
      </w:r>
      <w:r>
        <w:rPr>
          <w:color w:val="000000"/>
        </w:rPr>
        <w:t xml:space="preserve">10</w:t>
      </w:r>
      <w:r>
        <w:rPr>
          <w:rFonts w:hint="eastAsia" w:cs="仿宋_GB2312"/>
          <w:color w:val="000000"/>
        </w:rPr>
        <w:t xml:space="preserve">万亩，标准化、规范化基地</w:t>
      </w:r>
      <w:r>
        <w:rPr>
          <w:color w:val="000000"/>
        </w:rPr>
        <w:t xml:space="preserve">3</w:t>
      </w:r>
      <w:r>
        <w:rPr>
          <w:rFonts w:hint="eastAsia" w:cs="仿宋_GB2312"/>
          <w:color w:val="000000"/>
        </w:rPr>
        <w:t xml:space="preserve">万亩，培育</w:t>
      </w:r>
      <w:r>
        <w:rPr>
          <w:color w:val="000000"/>
        </w:rPr>
        <w:t xml:space="preserve">3-5</w:t>
      </w:r>
      <w:r>
        <w:rPr>
          <w:rFonts w:hint="eastAsia" w:cs="仿宋_GB2312"/>
          <w:color w:val="000000"/>
        </w:rPr>
        <w:t xml:space="preserve">个道地药材，打造</w:t>
      </w:r>
      <w:r>
        <w:rPr>
          <w:color w:val="000000"/>
        </w:rPr>
        <w:t xml:space="preserve">“</w:t>
      </w:r>
      <w:r>
        <w:rPr>
          <w:rFonts w:hint="eastAsia" w:cs="仿宋_GB2312"/>
          <w:color w:val="000000"/>
        </w:rPr>
        <w:t xml:space="preserve">随州金头蜈蚣</w:t>
      </w:r>
      <w:r>
        <w:rPr>
          <w:color w:val="000000"/>
        </w:rPr>
        <w:t xml:space="preserve">”“</w:t>
      </w:r>
      <w:r>
        <w:rPr>
          <w:rFonts w:hint="eastAsia" w:cs="仿宋_GB2312"/>
          <w:color w:val="000000"/>
        </w:rPr>
        <w:t xml:space="preserve">神农大白艾</w:t>
      </w:r>
      <w:r>
        <w:rPr>
          <w:color w:val="000000"/>
        </w:rPr>
        <w:t xml:space="preserve">”“</w:t>
      </w:r>
      <w:r>
        <w:rPr>
          <w:rFonts w:hint="eastAsia" w:cs="仿宋_GB2312"/>
          <w:color w:val="000000"/>
        </w:rPr>
        <w:t xml:space="preserve">随州重楼</w:t>
      </w:r>
      <w:r>
        <w:rPr>
          <w:color w:val="000000"/>
        </w:rPr>
        <w:t xml:space="preserve">”“</w:t>
      </w:r>
      <w:r>
        <w:rPr>
          <w:rFonts w:hint="eastAsia" w:cs="仿宋_GB2312"/>
          <w:color w:val="000000"/>
        </w:rPr>
        <w:t xml:space="preserve">随州虎杖</w:t>
      </w:r>
      <w:r>
        <w:rPr>
          <w:color w:val="000000"/>
        </w:rPr>
        <w:t xml:space="preserve">”</w:t>
      </w:r>
      <w:r>
        <w:rPr>
          <w:rFonts w:hint="eastAsia" w:cs="仿宋_GB2312"/>
          <w:color w:val="000000"/>
        </w:rPr>
        <w:t xml:space="preserve">等中药材精品名牌。</w:t>
      </w:r>
      <w:r>
        <w:rPr>
          <w:color w:val="000000"/>
        </w:rPr>
      </w:r>
      <w:r>
        <w:rPr>
          <w:color w:val="000000"/>
        </w:rPr>
      </w:r>
    </w:p>
    <w:p>
      <w:pPr>
        <w:pStyle w:val="737"/>
        <w:pBdr/>
        <w:spacing w:line="620" w:lineRule="exact"/>
        <w:ind w:firstLine="643"/>
        <w:rPr>
          <w:color w:val="000000"/>
        </w:rPr>
      </w:pPr>
      <w:r>
        <w:rPr>
          <w:rFonts w:hint="eastAsia" w:ascii="宋体" w:hAnsi="宋体" w:eastAsia="宋体" w:cs="宋体"/>
          <w:b/>
          <w:bCs/>
          <w:color w:val="000000"/>
        </w:rPr>
        <w:t xml:space="preserve">——</w:t>
      </w:r>
      <w:r>
        <w:rPr>
          <w:rFonts w:hint="eastAsia" w:cs="仿宋_GB2312"/>
          <w:b/>
          <w:bCs/>
          <w:color w:val="000000"/>
        </w:rPr>
        <w:t xml:space="preserve">畜牧。</w:t>
      </w:r>
      <w:r>
        <w:rPr>
          <w:rFonts w:hint="eastAsia" w:cs="仿宋_GB2312"/>
          <w:color w:val="000000"/>
        </w:rPr>
        <w:t xml:space="preserve">推行规模养殖、生态养殖、健康养殖、设施养殖</w:t>
      </w:r>
      <w:r>
        <w:rPr>
          <w:color w:val="000000"/>
        </w:rPr>
        <w:t xml:space="preserve">“</w:t>
      </w:r>
      <w:r>
        <w:rPr>
          <w:rFonts w:hint="eastAsia" w:cs="仿宋_GB2312"/>
          <w:color w:val="000000"/>
        </w:rPr>
        <w:t xml:space="preserve">四位一体</w:t>
      </w:r>
      <w:r>
        <w:rPr>
          <w:color w:val="000000"/>
        </w:rPr>
        <w:t xml:space="preserve">”</w:t>
      </w:r>
      <w:r>
        <w:rPr>
          <w:rFonts w:hint="eastAsia" w:cs="仿宋_GB2312"/>
          <w:color w:val="000000"/>
        </w:rPr>
        <w:t xml:space="preserve">养殖模式，推动养殖场由数量型向质量型转变、粗放型向集约型转变、污染型向生态型转变、单一型向循环型转变。养猪以广水中粮、共富牧业为龙头，养牛以都市放牛娃、五丰牛业为龙头，养鸡以湖北正大、科宝为龙头，养鸭、养鸽以楚丹禽业、新鹏鸽业为龙头，到</w:t>
      </w:r>
      <w:r>
        <w:rPr>
          <w:color w:val="000000"/>
        </w:rPr>
        <w:t xml:space="preserve">2025</w:t>
      </w:r>
      <w:r>
        <w:rPr>
          <w:rFonts w:hint="eastAsia" w:cs="仿宋_GB2312"/>
          <w:color w:val="000000"/>
        </w:rPr>
        <w:t xml:space="preserve">年，力争全市猪、牛、羊、禽出栏量分别达到</w:t>
      </w:r>
      <w:r>
        <w:rPr>
          <w:color w:val="000000"/>
        </w:rPr>
        <w:t xml:space="preserve">220</w:t>
      </w:r>
      <w:r>
        <w:rPr>
          <w:rFonts w:hint="eastAsia" w:cs="仿宋_GB2312"/>
          <w:color w:val="000000"/>
        </w:rPr>
        <w:t xml:space="preserve">万头、</w:t>
      </w:r>
      <w:r>
        <w:rPr>
          <w:color w:val="000000"/>
        </w:rPr>
        <w:t xml:space="preserve">8</w:t>
      </w:r>
      <w:r>
        <w:rPr>
          <w:rFonts w:hint="eastAsia" w:cs="仿宋_GB2312"/>
          <w:color w:val="000000"/>
        </w:rPr>
        <w:t xml:space="preserve">万头、</w:t>
      </w:r>
      <w:r>
        <w:rPr>
          <w:color w:val="000000"/>
        </w:rPr>
        <w:t xml:space="preserve">60</w:t>
      </w:r>
      <w:r>
        <w:rPr>
          <w:rFonts w:hint="eastAsia" w:cs="仿宋_GB2312"/>
          <w:color w:val="000000"/>
        </w:rPr>
        <w:t xml:space="preserve">万只、</w:t>
      </w:r>
      <w:r>
        <w:rPr>
          <w:color w:val="000000"/>
        </w:rPr>
        <w:t xml:space="preserve">1</w:t>
      </w:r>
      <w:r>
        <w:rPr>
          <w:rFonts w:hint="eastAsia" w:cs="仿宋_GB2312"/>
          <w:color w:val="000000"/>
        </w:rPr>
        <w:t xml:space="preserve">亿只。</w:t>
      </w:r>
      <w:r>
        <w:rPr>
          <w:color w:val="000000"/>
        </w:rPr>
      </w:r>
      <w:r>
        <w:rPr>
          <w:color w:val="000000"/>
        </w:rPr>
      </w:r>
    </w:p>
    <w:p>
      <w:pPr>
        <w:pStyle w:val="737"/>
        <w:pBdr/>
        <w:spacing w:line="620" w:lineRule="exact"/>
        <w:ind w:firstLine="643"/>
        <w:rPr>
          <w:color w:val="000000"/>
        </w:rPr>
      </w:pPr>
      <w:r>
        <w:rPr>
          <w:rFonts w:hint="eastAsia" w:ascii="宋体" w:hAnsi="宋体" w:eastAsia="宋体" w:cs="宋体"/>
          <w:b/>
          <w:bCs/>
          <w:color w:val="000000"/>
        </w:rPr>
        <w:t xml:space="preserve">——</w:t>
      </w:r>
      <w:r>
        <w:rPr>
          <w:rFonts w:hint="eastAsia" w:cs="仿宋_GB2312"/>
          <w:b/>
          <w:bCs/>
          <w:color w:val="000000"/>
        </w:rPr>
        <w:t xml:space="preserve">水产。</w:t>
      </w:r>
      <w:r>
        <w:rPr>
          <w:rFonts w:hint="eastAsia" w:cs="仿宋_GB2312"/>
          <w:color w:val="000000"/>
        </w:rPr>
        <w:t xml:space="preserve">积极推广健康养殖，大力发展</w:t>
      </w:r>
      <w:r>
        <w:rPr>
          <w:color w:val="000000"/>
        </w:rPr>
        <w:t xml:space="preserve">“</w:t>
      </w:r>
      <w:r>
        <w:rPr>
          <w:rFonts w:hint="eastAsia" w:cs="仿宋_GB2312"/>
          <w:color w:val="000000"/>
        </w:rPr>
        <w:t xml:space="preserve">稻虾</w:t>
      </w:r>
      <w:r>
        <w:rPr>
          <w:color w:val="000000"/>
        </w:rPr>
        <w:t xml:space="preserve">”“</w:t>
      </w:r>
      <w:r>
        <w:rPr>
          <w:rFonts w:hint="eastAsia" w:cs="仿宋_GB2312"/>
          <w:color w:val="000000"/>
        </w:rPr>
        <w:t xml:space="preserve">稻鳖</w:t>
      </w:r>
      <w:r>
        <w:rPr>
          <w:color w:val="000000"/>
        </w:rPr>
        <w:t xml:space="preserve">”“</w:t>
      </w:r>
      <w:r>
        <w:rPr>
          <w:rFonts w:hint="eastAsia" w:cs="仿宋_GB2312"/>
          <w:color w:val="000000"/>
        </w:rPr>
        <w:t xml:space="preserve">稻鳅</w:t>
      </w:r>
      <w:r>
        <w:rPr>
          <w:color w:val="000000"/>
        </w:rPr>
        <w:t xml:space="preserve">”“</w:t>
      </w:r>
      <w:r>
        <w:rPr>
          <w:rFonts w:hint="eastAsia" w:cs="仿宋_GB2312"/>
          <w:color w:val="000000"/>
        </w:rPr>
        <w:t xml:space="preserve">稻蛙</w:t>
      </w:r>
      <w:r>
        <w:rPr>
          <w:color w:val="000000"/>
        </w:rPr>
        <w:t xml:space="preserve">”</w:t>
      </w:r>
      <w:r>
        <w:rPr>
          <w:rFonts w:hint="eastAsia" w:cs="仿宋_GB2312"/>
          <w:color w:val="000000"/>
        </w:rPr>
        <w:t xml:space="preserve">等综合种养模式，重点建设小龙虾、甲鱼、生态花鲢、黑斑蛙和稻田综合种养基地等五大特色水产养殖基地，打造集约化、外向型的高效渔业养殖区和出口养殖基地，到</w:t>
      </w:r>
      <w:r>
        <w:rPr>
          <w:color w:val="000000"/>
        </w:rPr>
        <w:t xml:space="preserve">2025</w:t>
      </w:r>
      <w:r>
        <w:rPr>
          <w:rFonts w:hint="eastAsia" w:cs="仿宋_GB2312"/>
          <w:color w:val="000000"/>
        </w:rPr>
        <w:t xml:space="preserve">年，力争全市稻田综合种养面积达</w:t>
      </w:r>
      <w:r>
        <w:rPr>
          <w:color w:val="000000"/>
        </w:rPr>
        <w:t xml:space="preserve">17</w:t>
      </w:r>
      <w:r>
        <w:rPr>
          <w:rFonts w:hint="eastAsia" w:cs="仿宋_GB2312"/>
          <w:color w:val="000000"/>
        </w:rPr>
        <w:t xml:space="preserve">万亩、水产专业合作社达到</w:t>
      </w:r>
      <w:r>
        <w:rPr>
          <w:color w:val="000000"/>
        </w:rPr>
        <w:t xml:space="preserve">300</w:t>
      </w:r>
      <w:r>
        <w:rPr>
          <w:rFonts w:hint="eastAsia" w:cs="仿宋_GB2312"/>
          <w:color w:val="000000"/>
        </w:rPr>
        <w:t xml:space="preserve">家，创建部级健康生态养殖示范场</w:t>
      </w:r>
      <w:r>
        <w:rPr>
          <w:color w:val="000000"/>
        </w:rPr>
        <w:t xml:space="preserve">30</w:t>
      </w:r>
      <w:r>
        <w:rPr>
          <w:rFonts w:hint="eastAsia" w:cs="仿宋_GB2312"/>
          <w:color w:val="000000"/>
        </w:rPr>
        <w:t xml:space="preserve">家。</w:t>
      </w:r>
      <w:r>
        <w:rPr>
          <w:color w:val="000000"/>
        </w:rPr>
      </w:r>
      <w:r>
        <w:rPr>
          <w:color w:val="000000"/>
        </w:rPr>
      </w:r>
    </w:p>
    <w:p>
      <w:pPr>
        <w:pStyle w:val="737"/>
        <w:pBdr/>
        <w:spacing w:line="620" w:lineRule="exact"/>
        <w:ind w:firstLine="643"/>
        <w:rPr>
          <w:color w:val="000000"/>
        </w:rPr>
      </w:pPr>
      <w:r>
        <w:rPr>
          <w:rFonts w:hint="eastAsia" w:ascii="楷体_GB2312" w:hAnsi="楷体_GB2312" w:eastAsia="楷体_GB2312" w:cs="楷体_GB2312"/>
          <w:b/>
          <w:bCs/>
          <w:color w:val="000000"/>
        </w:rPr>
        <w:t xml:space="preserve">推动农村产业融合发展</w:t>
      </w:r>
      <w:r>
        <w:rPr>
          <w:rFonts w:hint="eastAsia" w:cs="仿宋_GB2312"/>
          <w:b/>
          <w:bCs/>
          <w:color w:val="000000"/>
        </w:rPr>
        <w:t xml:space="preserve">。</w:t>
      </w:r>
      <w:r>
        <w:rPr>
          <w:rFonts w:hint="eastAsia" w:cs="仿宋_GB2312"/>
          <w:color w:val="000000"/>
        </w:rPr>
        <w:t xml:space="preserve">积极推进“市民下乡”，大力发展休闲康养、农事体验、电子商务、乡村旅游等新产业新业态，推进农旅结合和一二三产业融合发展，形成服务农村地区发展的综合产业体系，支持随县建设</w:t>
      </w:r>
      <w:r>
        <w:rPr>
          <w:color w:val="000000"/>
        </w:rPr>
        <w:t xml:space="preserve">“</w:t>
      </w:r>
      <w:r>
        <w:rPr>
          <w:rFonts w:hint="eastAsia" w:cs="仿宋_GB2312"/>
          <w:color w:val="000000"/>
        </w:rPr>
        <w:t xml:space="preserve">国家农村产业融合发展示范区</w:t>
      </w:r>
      <w:r>
        <w:rPr>
          <w:color w:val="000000"/>
        </w:rPr>
        <w:t xml:space="preserve">”</w:t>
      </w:r>
      <w:r>
        <w:rPr>
          <w:rFonts w:hint="eastAsia" w:cs="仿宋_GB2312"/>
          <w:color w:val="000000"/>
        </w:rPr>
        <w:t xml:space="preserve">。依托武汉休闲消费需求，发展高铁沿线田园观光，炎帝农耕文化体验，香菇、香稻科普教育，大洪山、中华山健康养生等新业态；建设茶叶、果蔬综合性休闲农业园区，香菇、香稻、油茶主题公园、炎帝神农等历史文化特色的乡村民宿和休闲农庄；推动产村融合发展，打造一批宜游宜食宜玩的美丽田园综合体，满足城市居民高质量消费需求。实施</w:t>
      </w:r>
      <w:r>
        <w:rPr>
          <w:color w:val="000000"/>
        </w:rPr>
        <w:t xml:space="preserve">“</w:t>
      </w:r>
      <w:r>
        <w:rPr>
          <w:rFonts w:hint="eastAsia" w:cs="仿宋_GB2312"/>
          <w:color w:val="000000"/>
        </w:rPr>
        <w:t xml:space="preserve">互联网</w:t>
      </w:r>
      <w:r>
        <w:rPr>
          <w:color w:val="000000"/>
        </w:rPr>
        <w:t xml:space="preserve">+</w:t>
      </w:r>
      <w:r>
        <w:rPr>
          <w:rFonts w:hint="eastAsia"/>
          <w:color w:val="000000"/>
        </w:rPr>
        <w:t xml:space="preserve">三农</w:t>
      </w:r>
      <w:r>
        <w:rPr>
          <w:color w:val="000000"/>
        </w:rPr>
        <w:t xml:space="preserve">”</w:t>
      </w:r>
      <w:r>
        <w:rPr>
          <w:rFonts w:hint="eastAsia"/>
          <w:color w:val="000000"/>
        </w:rPr>
        <w:t xml:space="preserve">模式</w:t>
      </w:r>
      <w:r>
        <w:rPr>
          <w:rFonts w:hint="eastAsia" w:cs="仿宋_GB2312"/>
          <w:color w:val="000000"/>
        </w:rPr>
        <w:t xml:space="preserve">，推动移动互联网、物联网、云计算等新技术在农业生产经营领域的示范应用，实现“智慧农业”和“数字美丽乡村建设”向乡村、农业延伸。发挥随县和广水市国家级</w:t>
      </w:r>
      <w:r>
        <w:rPr>
          <w:color w:val="000000"/>
        </w:rPr>
        <w:t xml:space="preserve">“</w:t>
      </w:r>
      <w:r>
        <w:rPr>
          <w:rFonts w:hint="eastAsia" w:cs="仿宋_GB2312"/>
          <w:color w:val="000000"/>
        </w:rPr>
        <w:t xml:space="preserve">电商进农村示范县（市）</w:t>
      </w:r>
      <w:r>
        <w:rPr>
          <w:color w:val="000000"/>
        </w:rPr>
        <w:t xml:space="preserve">”</w:t>
      </w:r>
      <w:r>
        <w:rPr>
          <w:rFonts w:hint="eastAsia" w:cs="仿宋_GB2312"/>
          <w:color w:val="000000"/>
        </w:rPr>
        <w:t xml:space="preserve">、曾都区省级</w:t>
      </w:r>
      <w:r>
        <w:rPr>
          <w:color w:val="000000"/>
        </w:rPr>
        <w:t xml:space="preserve">“</w:t>
      </w:r>
      <w:r>
        <w:rPr>
          <w:rFonts w:hint="eastAsia" w:cs="仿宋_GB2312"/>
          <w:color w:val="000000"/>
        </w:rPr>
        <w:t xml:space="preserve">电商进农村示范县（市）</w:t>
      </w:r>
      <w:r>
        <w:rPr>
          <w:color w:val="000000"/>
        </w:rPr>
        <w:t xml:space="preserve">”</w:t>
      </w:r>
      <w:r>
        <w:rPr>
          <w:rFonts w:hint="eastAsia" w:cs="仿宋_GB2312"/>
          <w:color w:val="000000"/>
        </w:rPr>
        <w:t xml:space="preserve">示范作用，引导电商、物流、商贸、金融、供销、邮政、快递等各类电子商务主体到乡村布局，完善乡村信息网络基础设施，健全农村商贸市场体系，加快发展农产品冷链物流设施，培养农村电子商务人才，打造农村购物网络平台和电商末端网点。</w:t>
      </w:r>
      <w:r>
        <w:rPr>
          <w:color w:val="000000"/>
        </w:rPr>
      </w:r>
      <w:r>
        <w:rPr>
          <w:color w:val="000000"/>
        </w:rPr>
      </w:r>
    </w:p>
    <w:p>
      <w:pPr>
        <w:pStyle w:val="737"/>
        <w:pBdr/>
        <w:spacing w:line="640" w:lineRule="exact"/>
        <w:ind w:firstLine="643"/>
        <w:rPr>
          <w:rFonts w:hint="eastAsia" w:cs="仿宋_GB2312"/>
          <w:color w:val="000000"/>
        </w:rPr>
      </w:pPr>
      <w:r>
        <w:rPr>
          <w:rFonts w:hint="eastAsia" w:ascii="楷体_GB2312" w:hAnsi="楷体_GB2312" w:eastAsia="楷体_GB2312" w:cs="楷体_GB2312"/>
          <w:b/>
          <w:bCs/>
          <w:color w:val="000000"/>
        </w:rPr>
        <w:t xml:space="preserve">强化农业科技和装备支撑</w:t>
      </w:r>
      <w:r>
        <w:rPr>
          <w:rFonts w:hint="eastAsia" w:cs="仿宋_GB2312"/>
          <w:b/>
          <w:bCs/>
          <w:color w:val="000000"/>
        </w:rPr>
        <w:t xml:space="preserve">。</w:t>
      </w:r>
      <w:r>
        <w:rPr>
          <w:rFonts w:hint="eastAsia" w:cs="仿宋_GB2312"/>
          <w:color w:val="000000"/>
        </w:rPr>
        <w:t xml:space="preserve">鼓励和支持农民合作社、家庭农场等发展农产品产地初加工。引导龙头企业加快生物、工程、环保、信息等技术集成应用，促进农产品多次加工</w:t>
      </w:r>
      <w:r>
        <w:rPr>
          <w:rFonts w:hint="eastAsia" w:cs="仿宋_GB2312"/>
          <w:color w:val="000000"/>
          <w:lang w:eastAsia="zh-CN"/>
        </w:rPr>
        <w:t xml:space="preserve">、</w:t>
      </w:r>
      <w:r>
        <w:rPr>
          <w:rFonts w:hint="eastAsia" w:cs="仿宋_GB2312"/>
          <w:color w:val="000000"/>
        </w:rPr>
        <w:t xml:space="preserve">精细加工，实现多次增值。鼓励龙头企业和农产品加工园区推进加工副产物循环利用、全值利用、梯次利用，实现变废为宝，提升增值空间。加快科技示范基地建设，加强科技创新成果转化和推广应用，提高农业技术水平。扶持和引进一批农产品加工装备研发机构和生产创新企业，提升农产品加工层次水平。围绕科技创新研发、原料基地建设、企业经营管理、技术模式推广等方面培养一批高素质、专业化人才队伍和创新创业带头人，同时吸引在外能人、富人、贤人回乡投资、创业、输技、扶智。</w:t>
      </w:r>
      <w:r>
        <w:rPr>
          <w:rFonts w:hint="eastAsia" w:cs="仿宋_GB2312"/>
          <w:color w:val="000000"/>
        </w:rPr>
      </w:r>
      <w:r>
        <w:rPr>
          <w:rFonts w:hint="eastAsia" w:cs="仿宋_GB2312"/>
          <w:color w:val="000000"/>
        </w:rPr>
      </w:r>
    </w:p>
    <w:tbl>
      <w:tblPr>
        <w:tblW w:w="0" w:type="auto"/>
        <w:tblInd w:w="-1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4A0" w:firstRow="1" w:lastRow="0" w:firstColumn="1" w:lastColumn="0" w:noHBand="0" w:noVBand="1"/>
      </w:tblPr>
      <w:tblGrid>
        <w:gridCol w:w="8834"/>
      </w:tblGrid>
      <w:tr>
        <w:trPr/>
        <w:tc>
          <w:tcPr>
            <w:tcBorders/>
            <w:tcW w:w="8834" w:type="dxa"/>
            <w:vAlign w:val="top"/>
            <w:textDirection w:val="lrTb"/>
            <w:noWrap w:val="false"/>
          </w:tcPr>
          <w:p>
            <w:pPr>
              <w:pStyle w:val="797"/>
              <w:pBdr/>
              <w:spacing w:line="600" w:lineRule="exact"/>
              <w:ind w:firstLine="0"/>
              <w:jc w:val="center"/>
              <w:rPr>
                <w:b/>
                <w:bCs/>
                <w:color w:val="000000"/>
              </w:rPr>
            </w:pPr>
            <w:r>
              <w:rPr>
                <w:rFonts w:hint="eastAsia" w:cs="宋体"/>
                <w:b/>
                <w:bCs/>
                <w:color w:val="000000"/>
                <w:sz w:val="28"/>
                <w:szCs w:val="28"/>
              </w:rPr>
              <w:t xml:space="preserve">专栏六：现代农业重大工程</w:t>
            </w:r>
            <w:r>
              <w:rPr>
                <w:b/>
                <w:bCs/>
                <w:color w:val="000000"/>
              </w:rPr>
            </w:r>
            <w:r>
              <w:rPr>
                <w:b/>
                <w:bCs/>
                <w:color w:val="000000"/>
              </w:rPr>
            </w:r>
          </w:p>
        </w:tc>
      </w:tr>
      <w:tr>
        <w:trPr/>
        <w:tc>
          <w:tcPr>
            <w:tcBorders/>
            <w:tcW w:w="8834" w:type="dxa"/>
            <w:vAlign w:val="top"/>
            <w:textDirection w:val="lrTb"/>
            <w:noWrap w:val="false"/>
          </w:tcPr>
          <w:p>
            <w:pPr>
              <w:pStyle w:val="797"/>
              <w:pBdr/>
              <w:spacing/>
              <w:ind w:firstLine="482"/>
              <w:rPr>
                <w:color w:val="000000"/>
                <w:sz w:val="24"/>
                <w:szCs w:val="24"/>
              </w:rPr>
            </w:pPr>
            <w:r>
              <w:rPr>
                <w:rFonts w:hint="eastAsia"/>
                <w:b/>
                <w:bCs/>
                <w:color w:val="000000"/>
                <w:sz w:val="24"/>
                <w:szCs w:val="24"/>
              </w:rPr>
              <w:t xml:space="preserve">新型农业经营主体培育工程。</w:t>
            </w:r>
            <w:r>
              <w:rPr>
                <w:rFonts w:hint="eastAsia"/>
                <w:color w:val="000000"/>
                <w:sz w:val="24"/>
                <w:szCs w:val="24"/>
              </w:rPr>
              <w:t xml:space="preserve">重点培育以品源现代、裕国菇业、金银丰集团、湖北现代农业、湖北正大、共富牧业、大自然农业、中兴食品、田丰农业、舜天粮油等龙头企业为实施主体的</w:t>
            </w:r>
            <w:r>
              <w:rPr>
                <w:color w:val="000000"/>
                <w:sz w:val="24"/>
                <w:szCs w:val="24"/>
              </w:rPr>
              <w:t xml:space="preserve">“</w:t>
            </w:r>
            <w:r>
              <w:rPr>
                <w:rFonts w:hint="eastAsia"/>
                <w:color w:val="000000"/>
                <w:sz w:val="24"/>
                <w:szCs w:val="24"/>
              </w:rPr>
              <w:t xml:space="preserve">六个一</w:t>
            </w:r>
            <w:r>
              <w:rPr>
                <w:color w:val="000000"/>
                <w:sz w:val="24"/>
                <w:szCs w:val="24"/>
              </w:rPr>
              <w:t xml:space="preserve">”</w:t>
            </w:r>
            <w:r>
              <w:rPr>
                <w:rFonts w:hint="eastAsia"/>
                <w:color w:val="000000"/>
                <w:sz w:val="24"/>
                <w:szCs w:val="24"/>
              </w:rPr>
              <w:t xml:space="preserve">产业化联合体。</w:t>
            </w:r>
            <w:r>
              <w:rPr>
                <w:color w:val="000000"/>
                <w:sz w:val="24"/>
                <w:szCs w:val="24"/>
              </w:rPr>
            </w:r>
            <w:r>
              <w:rPr>
                <w:color w:val="000000"/>
                <w:sz w:val="24"/>
                <w:szCs w:val="24"/>
              </w:rPr>
            </w:r>
          </w:p>
          <w:p>
            <w:pPr>
              <w:pStyle w:val="797"/>
              <w:pBdr/>
              <w:spacing/>
              <w:ind w:firstLine="0"/>
              <w:rPr>
                <w:color w:val="000000"/>
                <w:sz w:val="24"/>
                <w:szCs w:val="24"/>
              </w:rPr>
            </w:pPr>
            <w:r>
              <w:rPr>
                <w:rFonts w:hint="eastAsia"/>
                <w:b/>
                <w:bCs/>
                <w:color w:val="000000"/>
                <w:sz w:val="24"/>
                <w:szCs w:val="24"/>
                <w:lang w:val="en-US"/>
              </w:rPr>
              <w:t xml:space="preserve">   </w:t>
            </w:r>
            <w:r>
              <w:rPr>
                <w:b/>
                <w:bCs/>
                <w:color w:val="000000"/>
                <w:sz w:val="24"/>
                <w:szCs w:val="24"/>
              </w:rPr>
              <w:t xml:space="preserve">“</w:t>
            </w:r>
            <w:r>
              <w:rPr>
                <w:rFonts w:hint="eastAsia"/>
                <w:b/>
                <w:bCs/>
                <w:color w:val="000000"/>
                <w:sz w:val="24"/>
                <w:szCs w:val="24"/>
              </w:rPr>
              <w:t xml:space="preserve">六个一</w:t>
            </w:r>
            <w:r>
              <w:rPr>
                <w:b/>
                <w:bCs/>
                <w:color w:val="000000"/>
                <w:sz w:val="24"/>
                <w:szCs w:val="24"/>
              </w:rPr>
              <w:t xml:space="preserve">”</w:t>
            </w:r>
            <w:r>
              <w:rPr>
                <w:rFonts w:hint="eastAsia"/>
                <w:b/>
                <w:bCs/>
                <w:color w:val="000000"/>
                <w:sz w:val="24"/>
                <w:szCs w:val="24"/>
              </w:rPr>
              <w:t xml:space="preserve">特色产业示范村镇培育工程。</w:t>
            </w:r>
            <w:r>
              <w:rPr>
                <w:rFonts w:hint="eastAsia"/>
                <w:color w:val="000000"/>
                <w:sz w:val="24"/>
                <w:szCs w:val="24"/>
              </w:rPr>
              <w:t xml:space="preserve">依托</w:t>
            </w:r>
            <w:r>
              <w:rPr>
                <w:color w:val="000000"/>
                <w:sz w:val="24"/>
                <w:szCs w:val="24"/>
              </w:rPr>
              <w:t xml:space="preserve">“</w:t>
            </w:r>
            <w:r>
              <w:rPr>
                <w:rFonts w:hint="eastAsia"/>
                <w:color w:val="000000"/>
                <w:sz w:val="24"/>
                <w:szCs w:val="24"/>
              </w:rPr>
              <w:t xml:space="preserve">六个一</w:t>
            </w:r>
            <w:r>
              <w:rPr>
                <w:color w:val="000000"/>
                <w:sz w:val="24"/>
                <w:szCs w:val="24"/>
              </w:rPr>
              <w:t xml:space="preserve">”</w:t>
            </w:r>
            <w:r>
              <w:rPr>
                <w:rFonts w:hint="eastAsia"/>
                <w:color w:val="000000"/>
                <w:sz w:val="24"/>
                <w:szCs w:val="24"/>
              </w:rPr>
              <w:t xml:space="preserve">产业资源优势，聚焦主导产业，建设一批</w:t>
            </w:r>
            <w:r>
              <w:rPr>
                <w:color w:val="000000"/>
                <w:sz w:val="24"/>
                <w:szCs w:val="24"/>
              </w:rPr>
              <w:t xml:space="preserve">“</w:t>
            </w:r>
            <w:r>
              <w:rPr>
                <w:rFonts w:hint="eastAsia"/>
                <w:color w:val="000000"/>
                <w:sz w:val="24"/>
                <w:szCs w:val="24"/>
              </w:rPr>
              <w:t xml:space="preserve">小而精、特而美</w:t>
            </w:r>
            <w:r>
              <w:rPr>
                <w:color w:val="000000"/>
                <w:sz w:val="24"/>
                <w:szCs w:val="24"/>
              </w:rPr>
              <w:t xml:space="preserve">”</w:t>
            </w:r>
            <w:r>
              <w:rPr>
                <w:rFonts w:hint="eastAsia"/>
                <w:color w:val="000000"/>
                <w:sz w:val="24"/>
                <w:szCs w:val="24"/>
              </w:rPr>
              <w:t xml:space="preserve">的示范村镇，打造一批优质原材料基地，产品初加工基地、集约精深加工基地。</w:t>
            </w:r>
            <w:r>
              <w:rPr>
                <w:color w:val="000000"/>
                <w:sz w:val="24"/>
                <w:szCs w:val="24"/>
              </w:rPr>
            </w:r>
            <w:r>
              <w:rPr>
                <w:color w:val="000000"/>
                <w:sz w:val="24"/>
                <w:szCs w:val="24"/>
              </w:rPr>
            </w:r>
          </w:p>
          <w:p>
            <w:pPr>
              <w:pStyle w:val="797"/>
              <w:pBdr/>
              <w:spacing/>
              <w:ind w:firstLine="481"/>
              <w:rPr>
                <w:rFonts w:hint="eastAsia"/>
                <w:color w:val="000000"/>
                <w:sz w:val="24"/>
                <w:szCs w:val="24"/>
              </w:rPr>
            </w:pPr>
            <w:r>
              <w:rPr>
                <w:rFonts w:hint="eastAsia"/>
                <w:b/>
                <w:bCs/>
                <w:color w:val="000000"/>
                <w:sz w:val="24"/>
                <w:szCs w:val="24"/>
              </w:rPr>
              <w:t xml:space="preserve">特色农业品牌创建工程。</w:t>
            </w:r>
            <w:r>
              <w:rPr>
                <w:rFonts w:hint="eastAsia"/>
                <w:color w:val="000000"/>
                <w:sz w:val="24"/>
                <w:szCs w:val="24"/>
              </w:rPr>
              <w:t xml:space="preserve">积极支持相关企业开展</w:t>
            </w:r>
            <w:r>
              <w:rPr>
                <w:color w:val="000000"/>
                <w:sz w:val="24"/>
                <w:szCs w:val="24"/>
              </w:rPr>
              <w:t xml:space="preserve">“</w:t>
            </w:r>
            <w:r>
              <w:rPr>
                <w:rFonts w:hint="eastAsia"/>
                <w:color w:val="000000"/>
                <w:sz w:val="24"/>
                <w:szCs w:val="24"/>
              </w:rPr>
              <w:t xml:space="preserve">三品一标</w:t>
            </w:r>
            <w:r>
              <w:rPr>
                <w:color w:val="000000"/>
                <w:sz w:val="24"/>
                <w:szCs w:val="24"/>
              </w:rPr>
              <w:t xml:space="preserve">”</w:t>
            </w:r>
            <w:r>
              <w:rPr>
                <w:rFonts w:hint="eastAsia"/>
                <w:color w:val="000000"/>
                <w:sz w:val="24"/>
                <w:szCs w:val="24"/>
              </w:rPr>
              <w:t xml:space="preserve">申报认证工作，打造</w:t>
            </w:r>
            <w:r>
              <w:rPr>
                <w:color w:val="000000"/>
                <w:sz w:val="24"/>
                <w:szCs w:val="24"/>
              </w:rPr>
              <w:t xml:space="preserve">“</w:t>
            </w:r>
            <w:r>
              <w:rPr>
                <w:rFonts w:hint="eastAsia"/>
                <w:color w:val="000000"/>
                <w:sz w:val="24"/>
                <w:szCs w:val="24"/>
              </w:rPr>
              <w:t xml:space="preserve">菇的辣克</w:t>
            </w:r>
            <w:r>
              <w:rPr>
                <w:color w:val="000000"/>
                <w:sz w:val="24"/>
                <w:szCs w:val="24"/>
              </w:rPr>
              <w:t xml:space="preserve">”</w:t>
            </w:r>
            <w:r>
              <w:rPr>
                <w:rFonts w:hint="eastAsia"/>
                <w:color w:val="000000"/>
                <w:sz w:val="24"/>
                <w:szCs w:val="24"/>
              </w:rPr>
              <w:t xml:space="preserve">香菇酱、</w:t>
            </w:r>
            <w:r>
              <w:rPr>
                <w:color w:val="000000"/>
                <w:sz w:val="24"/>
                <w:szCs w:val="24"/>
              </w:rPr>
              <w:t xml:space="preserve">“</w:t>
            </w:r>
            <w:r>
              <w:rPr>
                <w:rFonts w:hint="eastAsia"/>
                <w:color w:val="000000"/>
                <w:sz w:val="24"/>
                <w:szCs w:val="24"/>
              </w:rPr>
              <w:t xml:space="preserve">大洪山</w:t>
            </w:r>
            <w:r>
              <w:rPr>
                <w:color w:val="000000"/>
                <w:sz w:val="24"/>
                <w:szCs w:val="24"/>
              </w:rPr>
              <w:t xml:space="preserve">”</w:t>
            </w:r>
            <w:r>
              <w:rPr>
                <w:rFonts w:hint="eastAsia"/>
                <w:color w:val="000000"/>
                <w:sz w:val="24"/>
                <w:szCs w:val="24"/>
              </w:rPr>
              <w:t xml:space="preserve">茶叶等一批国内外知名品牌，每年认证</w:t>
            </w:r>
            <w:r>
              <w:rPr>
                <w:color w:val="000000"/>
                <w:sz w:val="24"/>
                <w:szCs w:val="24"/>
              </w:rPr>
              <w:t xml:space="preserve">“</w:t>
            </w:r>
            <w:r>
              <w:rPr>
                <w:rFonts w:hint="eastAsia"/>
                <w:color w:val="000000"/>
                <w:sz w:val="24"/>
                <w:szCs w:val="24"/>
              </w:rPr>
              <w:t xml:space="preserve">三品一标</w:t>
            </w:r>
            <w:r>
              <w:rPr>
                <w:color w:val="000000"/>
                <w:sz w:val="24"/>
                <w:szCs w:val="24"/>
              </w:rPr>
              <w:t xml:space="preserve">”</w:t>
            </w:r>
            <w:r>
              <w:rPr>
                <w:rFonts w:hint="eastAsia"/>
                <w:color w:val="000000"/>
                <w:sz w:val="24"/>
                <w:szCs w:val="24"/>
              </w:rPr>
              <w:t xml:space="preserve">农产品</w:t>
            </w:r>
            <w:r>
              <w:rPr>
                <w:color w:val="000000"/>
                <w:sz w:val="24"/>
                <w:szCs w:val="24"/>
              </w:rPr>
              <w:t xml:space="preserve">15</w:t>
            </w:r>
            <w:r>
              <w:rPr>
                <w:rFonts w:hint="eastAsia"/>
                <w:color w:val="000000"/>
                <w:sz w:val="24"/>
                <w:szCs w:val="24"/>
              </w:rPr>
              <w:t xml:space="preserve">件以上，力争全市农产品</w:t>
            </w:r>
            <w:r>
              <w:rPr>
                <w:color w:val="000000"/>
                <w:sz w:val="24"/>
                <w:szCs w:val="24"/>
              </w:rPr>
              <w:t xml:space="preserve">“</w:t>
            </w:r>
            <w:r>
              <w:rPr>
                <w:rFonts w:hint="eastAsia"/>
                <w:color w:val="000000"/>
                <w:sz w:val="24"/>
                <w:szCs w:val="24"/>
              </w:rPr>
              <w:t xml:space="preserve">三品一标</w:t>
            </w:r>
            <w:r>
              <w:rPr>
                <w:color w:val="000000"/>
                <w:sz w:val="24"/>
                <w:szCs w:val="24"/>
              </w:rPr>
              <w:t xml:space="preserve">”</w:t>
            </w:r>
            <w:r>
              <w:rPr>
                <w:rFonts w:hint="eastAsia"/>
                <w:color w:val="000000"/>
                <w:sz w:val="24"/>
                <w:szCs w:val="24"/>
              </w:rPr>
              <w:t xml:space="preserve">总量达到</w:t>
            </w:r>
            <w:r>
              <w:rPr>
                <w:color w:val="000000"/>
                <w:sz w:val="24"/>
                <w:szCs w:val="24"/>
              </w:rPr>
              <w:t xml:space="preserve">300</w:t>
            </w:r>
            <w:r>
              <w:rPr>
                <w:rFonts w:hint="eastAsia"/>
                <w:color w:val="000000"/>
                <w:sz w:val="24"/>
                <w:szCs w:val="24"/>
              </w:rPr>
              <w:t xml:space="preserve">件以上。大力提升</w:t>
            </w:r>
            <w:r>
              <w:rPr>
                <w:color w:val="000000"/>
                <w:sz w:val="24"/>
                <w:szCs w:val="24"/>
              </w:rPr>
              <w:t xml:space="preserve">“</w:t>
            </w:r>
            <w:r>
              <w:rPr>
                <w:rFonts w:hint="eastAsia"/>
                <w:color w:val="000000"/>
                <w:sz w:val="24"/>
                <w:szCs w:val="24"/>
              </w:rPr>
              <w:t xml:space="preserve">随州香菇</w:t>
            </w:r>
            <w:r>
              <w:rPr>
                <w:color w:val="000000"/>
                <w:sz w:val="24"/>
                <w:szCs w:val="24"/>
              </w:rPr>
              <w:t xml:space="preserve">”“</w:t>
            </w:r>
            <w:r>
              <w:rPr>
                <w:rFonts w:hint="eastAsia"/>
                <w:color w:val="000000"/>
                <w:sz w:val="24"/>
                <w:szCs w:val="24"/>
              </w:rPr>
              <w:t xml:space="preserve">随州香稻</w:t>
            </w:r>
            <w:r>
              <w:rPr>
                <w:color w:val="000000"/>
                <w:sz w:val="24"/>
                <w:szCs w:val="24"/>
              </w:rPr>
              <w:t xml:space="preserve">”</w:t>
            </w:r>
            <w:r>
              <w:rPr>
                <w:rFonts w:hint="eastAsia"/>
                <w:color w:val="000000"/>
                <w:sz w:val="24"/>
                <w:szCs w:val="24"/>
              </w:rPr>
              <w:t xml:space="preserve">区域公用品牌知名度，推动</w:t>
            </w:r>
            <w:r>
              <w:rPr>
                <w:color w:val="000000"/>
                <w:sz w:val="24"/>
                <w:szCs w:val="24"/>
              </w:rPr>
              <w:t xml:space="preserve">“</w:t>
            </w:r>
            <w:r>
              <w:rPr>
                <w:rFonts w:hint="eastAsia"/>
                <w:color w:val="000000"/>
                <w:sz w:val="24"/>
                <w:szCs w:val="24"/>
              </w:rPr>
              <w:t xml:space="preserve">随州油茶</w:t>
            </w:r>
            <w:r>
              <w:rPr>
                <w:color w:val="000000"/>
                <w:sz w:val="24"/>
                <w:szCs w:val="24"/>
              </w:rPr>
              <w:t xml:space="preserve">”</w:t>
            </w:r>
            <w:r>
              <w:rPr>
                <w:rFonts w:hint="eastAsia"/>
                <w:color w:val="000000"/>
                <w:sz w:val="24"/>
                <w:szCs w:val="24"/>
              </w:rPr>
              <w:t xml:space="preserve">申报国家地理标志证明商标。</w:t>
            </w:r>
            <w:r>
              <w:rPr>
                <w:rFonts w:hint="eastAsia"/>
                <w:color w:val="000000"/>
                <w:sz w:val="24"/>
                <w:szCs w:val="24"/>
              </w:rPr>
            </w:r>
            <w:r>
              <w:rPr>
                <w:rFonts w:hint="eastAsia"/>
                <w:color w:val="000000"/>
                <w:sz w:val="24"/>
                <w:szCs w:val="24"/>
              </w:rPr>
            </w:r>
          </w:p>
          <w:p>
            <w:pPr>
              <w:pStyle w:val="797"/>
              <w:pBdr/>
              <w:spacing/>
              <w:ind w:firstLine="481"/>
              <w:rPr>
                <w:rFonts w:hint="eastAsia"/>
                <w:color w:val="000000"/>
                <w:sz w:val="24"/>
                <w:szCs w:val="24"/>
              </w:rPr>
            </w:pPr>
            <w:r>
              <w:rPr>
                <w:rFonts w:hint="eastAsia"/>
                <w:b/>
                <w:bCs/>
                <w:color w:val="000000"/>
                <w:sz w:val="24"/>
                <w:szCs w:val="24"/>
              </w:rPr>
              <w:t xml:space="preserve">粮食安全保障能力提升工程。</w:t>
            </w:r>
            <w:r>
              <w:rPr>
                <w:rFonts w:hint="eastAsia"/>
                <w:color w:val="000000"/>
                <w:sz w:val="24"/>
                <w:szCs w:val="24"/>
              </w:rPr>
              <w:t xml:space="preserve">落实最严格耕地保护制度，建立耕地保护激励约束机制，坚决遏制耕地“非农化”、防止“非粮化”，规范耕地占补平衡。</w:t>
            </w:r>
            <w:r>
              <w:rPr>
                <w:color w:val="000000"/>
                <w:sz w:val="24"/>
                <w:szCs w:val="24"/>
              </w:rPr>
              <w:t xml:space="preserve">加强地方储备安全管理，筑牢储备保底防线</w:t>
            </w:r>
            <w:r>
              <w:rPr>
                <w:rFonts w:hint="eastAsia"/>
                <w:color w:val="000000"/>
                <w:sz w:val="24"/>
                <w:szCs w:val="24"/>
              </w:rPr>
              <w:t xml:space="preserve">。</w:t>
            </w:r>
            <w:r>
              <w:rPr>
                <w:color w:val="000000"/>
                <w:sz w:val="24"/>
                <w:szCs w:val="24"/>
              </w:rPr>
              <w:t xml:space="preserve">优化应急结构布局，依托粮食储备企业、加工龙头企业、军供站点、“放心粮油”批发市场及连锁配送网点等现有社会资源，实现应急加工、储运、供应有效衔接</w:t>
            </w:r>
            <w:r>
              <w:rPr>
                <w:rFonts w:hint="eastAsia"/>
                <w:color w:val="000000"/>
                <w:sz w:val="24"/>
                <w:szCs w:val="24"/>
              </w:rPr>
              <w:t xml:space="preserve">。</w:t>
            </w:r>
            <w:r>
              <w:rPr>
                <w:color w:val="000000"/>
                <w:sz w:val="24"/>
                <w:szCs w:val="24"/>
              </w:rPr>
              <w:t xml:space="preserve">完善应急供应保障体系，分级建设粮食应急保障中心，形成统一高效、分级管理、响应迅速、多元参与的粮食应急机制和布局合理、设施完备、运转高效、保障有力的粮食应急保障体系，全面提升粮食安全保障能力。</w:t>
            </w:r>
            <w:r>
              <w:rPr>
                <w:rFonts w:hint="eastAsia"/>
                <w:color w:val="000000"/>
                <w:sz w:val="24"/>
                <w:szCs w:val="24"/>
              </w:rPr>
            </w:r>
            <w:r>
              <w:rPr>
                <w:rFonts w:hint="eastAsia"/>
                <w:color w:val="000000"/>
                <w:sz w:val="24"/>
                <w:szCs w:val="24"/>
              </w:rPr>
            </w:r>
          </w:p>
        </w:tc>
      </w:tr>
    </w:tbl>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bookmarkStart w:id="58" w:name="_Toc9029"/>
      <w:r>
        <w:rPr>
          <w:rFonts w:hint="eastAsia" w:ascii="黑体" w:hAnsi="黑体" w:eastAsia="黑体" w:cs="黑体"/>
          <w:b w:val="0"/>
          <w:bCs w:val="0"/>
          <w:color w:val="000000"/>
        </w:rPr>
        <w:t xml:space="preserve">二、加快推进城乡融合发展</w:t>
      </w:r>
      <w:bookmarkEnd w:id="58"/>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color w:val="000000"/>
        </w:rPr>
      </w:pPr>
      <w:r>
        <w:rPr>
          <w:rFonts w:hint="eastAsia" w:cs="仿宋_GB2312"/>
          <w:color w:val="000000"/>
        </w:rPr>
        <w:t xml:space="preserve">加快促进城乡在规划布局、要素配置、产业发展、公共服务、生态保护等方面相互融合和共同发展，逐步实现城乡居民基本权益平等化、城乡公共服务均等化、城乡居民收入均衡化、城乡要素配置合理化、城乡产业发展融合化，让广大农民共享改革发展成果。</w:t>
      </w:r>
      <w:r>
        <w:rPr>
          <w:color w:val="000000"/>
        </w:rPr>
      </w:r>
      <w:r>
        <w:rPr>
          <w:color w:val="000000"/>
        </w:rPr>
      </w:r>
    </w:p>
    <w:p>
      <w:pPr>
        <w:pStyle w:val="737"/>
        <w:pBdr/>
        <w:spacing/>
        <w:ind w:firstLine="643"/>
        <w:rPr>
          <w:rFonts w:hint="eastAsia" w:hAnsi="仿宋" w:cs="仿宋"/>
          <w:color w:val="000000"/>
        </w:rPr>
      </w:pPr>
      <w:r>
        <w:rPr>
          <w:rFonts w:hint="eastAsia" w:ascii="楷体_GB2312" w:hAnsi="楷体_GB2312" w:eastAsia="楷体_GB2312" w:cs="楷体_GB2312"/>
          <w:b/>
          <w:bCs/>
          <w:color w:val="000000"/>
        </w:rPr>
        <w:t xml:space="preserve">深化农业农村综合改革。</w:t>
      </w:r>
      <w:r>
        <w:rPr>
          <w:rFonts w:hint="eastAsia" w:cs="仿宋_GB2312"/>
          <w:color w:val="000000"/>
        </w:rPr>
        <w:t xml:space="preserve">健全城乡融合发展机制，推动城乡要素平等交换、双向流动，实施“三乡工程”，增强农业农村发展活力。</w:t>
      </w:r>
      <w:r>
        <w:rPr>
          <w:rFonts w:hint="eastAsia" w:hAnsi="仿宋" w:cs="仿宋"/>
          <w:color w:val="000000"/>
        </w:rPr>
        <w:t xml:space="preserve">深化农村土地制度改革，落实第二轮土地承包到期后再延长三十年政策。</w:t>
      </w:r>
      <w:r>
        <w:rPr>
          <w:rFonts w:hint="eastAsia" w:cs="仿宋_GB2312"/>
          <w:color w:val="000000"/>
        </w:rPr>
        <w:t xml:space="preserve">深化农村集体产权制度改革成果应用，盘活农村资产资源，发展壮大新型农村集体经济。</w:t>
      </w:r>
      <w:r>
        <w:rPr>
          <w:rFonts w:hint="eastAsia" w:hAnsi="仿宋" w:cs="仿宋"/>
          <w:color w:val="000000"/>
        </w:rPr>
        <w:t xml:space="preserve">促进农民合作社规范提升，扶持家庭农场发展壮大，完善各类农业社会化服务体系，发展多种形式的适度规模经营。</w:t>
      </w:r>
      <w:r>
        <w:rPr>
          <w:rFonts w:hint="eastAsia" w:cs="仿宋_GB2312"/>
          <w:color w:val="000000"/>
        </w:rPr>
        <w:t xml:space="preserve">稳慎推进宅基地改革，探索农村宅基地所有权、资格权、使用权</w:t>
      </w:r>
      <w:r>
        <w:rPr>
          <w:rFonts w:hint="eastAsia"/>
          <w:color w:val="000000"/>
        </w:rPr>
        <w:t xml:space="preserve">实现形式。</w:t>
      </w:r>
      <w:r>
        <w:rPr>
          <w:rFonts w:hint="eastAsia" w:cs="仿宋_GB2312"/>
          <w:color w:val="000000"/>
        </w:rPr>
        <w:t xml:space="preserve">统</w:t>
      </w:r>
      <w:r>
        <w:rPr>
          <w:rFonts w:hint="eastAsia" w:hAnsi="仿宋" w:cs="仿宋"/>
          <w:color w:val="000000"/>
        </w:rPr>
        <w:t xml:space="preserve">筹推进小型农田水利设施产权制度、农业水价、粮食收储、供销合作社等改革，健全农村金融服务体系，发展农业保险，提升为农服务能力。</w:t>
      </w:r>
      <w:r>
        <w:rPr>
          <w:rFonts w:hint="eastAsia" w:hAnsi="仿宋" w:cs="仿宋"/>
          <w:color w:val="000000"/>
        </w:rPr>
      </w:r>
      <w:r>
        <w:rPr>
          <w:rFonts w:hint="eastAsia" w:hAnsi="仿宋" w:cs="仿宋"/>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统筹城乡基础设施建设。</w:t>
      </w:r>
      <w:r>
        <w:rPr>
          <w:rFonts w:hint="eastAsia" w:cs="仿宋_GB2312"/>
          <w:color w:val="000000"/>
        </w:rPr>
        <w:t xml:space="preserve">加快推进道路交通、供水供气、宽带通信、景观绿化等基础设施向农村延伸，强化城乡基础设施连接，推动水电路气等基础设施城乡联网互通、共建共享。推动扶贫路提档升级，深入实施</w:t>
      </w:r>
      <w:r>
        <w:rPr>
          <w:color w:val="000000"/>
        </w:rPr>
        <w:t xml:space="preserve">“</w:t>
      </w:r>
      <w:r>
        <w:rPr>
          <w:rFonts w:hint="eastAsia" w:cs="仿宋_GB2312"/>
          <w:color w:val="000000"/>
        </w:rPr>
        <w:t xml:space="preserve">四好农村路</w:t>
      </w:r>
      <w:r>
        <w:rPr>
          <w:color w:val="000000"/>
        </w:rPr>
        <w:t xml:space="preserve">”</w:t>
      </w:r>
      <w:r>
        <w:rPr>
          <w:rFonts w:hint="eastAsia" w:cs="仿宋_GB2312"/>
          <w:color w:val="000000"/>
        </w:rPr>
        <w:t xml:space="preserve">建设，对脱贫村公路实施路面改造工程，逐步提高公路等级。持续推进农村地区水利建设，统筹规划建设重点水源工程，实施农村饮水安全巩固提升工程。深入实施新一轮农网升级改造工程，优化区域电网结构，增强电力保障能力。大力改善农村地区通讯设施，推动宽带网络向农村延伸，实现行政村光纤网络和第四代移动通信网络全覆盖，适时在农村布局</w:t>
      </w:r>
      <w:r>
        <w:rPr>
          <w:color w:val="000000"/>
        </w:rPr>
        <w:t xml:space="preserve">5G</w:t>
      </w:r>
      <w:r>
        <w:rPr>
          <w:rFonts w:hint="eastAsia" w:cs="仿宋_GB2312"/>
          <w:color w:val="000000"/>
        </w:rPr>
        <w:t xml:space="preserve">网络建设，打造</w:t>
      </w:r>
      <w:r>
        <w:rPr>
          <w:color w:val="000000"/>
        </w:rPr>
        <w:t xml:space="preserve">“</w:t>
      </w:r>
      <w:r>
        <w:rPr>
          <w:rFonts w:hint="eastAsia" w:cs="仿宋_GB2312"/>
          <w:color w:val="000000"/>
        </w:rPr>
        <w:t xml:space="preserve">数字乡村</w:t>
      </w:r>
      <w:r>
        <w:rPr>
          <w:color w:val="000000"/>
        </w:rPr>
        <w:t xml:space="preserve">”</w:t>
      </w:r>
      <w:r>
        <w:rPr>
          <w:rFonts w:hint="eastAsia" w:cs="仿宋_GB2312"/>
          <w:color w:val="000000"/>
        </w:rPr>
        <w:t xml:space="preserve">。创新农村基础设施和公共服务设施决策、投入、建设、运行管护机制，积极引导社会资本参与农村公益性基础设施建设。</w:t>
      </w:r>
      <w:r>
        <w:rPr>
          <w:color w:val="000000"/>
        </w:rPr>
      </w:r>
      <w:r>
        <w:rPr>
          <w:color w:val="000000"/>
        </w:rPr>
      </w:r>
    </w:p>
    <w:p>
      <w:pPr>
        <w:pStyle w:val="737"/>
        <w:pBdr/>
        <w:spacing/>
        <w:ind w:firstLine="643"/>
        <w:rPr>
          <w:color w:val="000000"/>
          <w:lang w:val="en-US"/>
        </w:rPr>
      </w:pPr>
      <w:r>
        <w:rPr>
          <w:rFonts w:hint="eastAsia" w:ascii="楷体_GB2312" w:hAnsi="楷体_GB2312" w:eastAsia="楷体_GB2312" w:cs="楷体_GB2312"/>
          <w:b/>
          <w:bCs/>
          <w:color w:val="000000"/>
        </w:rPr>
        <w:t xml:space="preserve">推进美丽乡村建设。</w:t>
      </w:r>
      <w:r>
        <w:rPr>
          <w:rFonts w:hint="eastAsia" w:cs="仿宋_GB2312"/>
          <w:color w:val="000000"/>
        </w:rPr>
        <w:t xml:space="preserve">加强乡村风貌保护，统筹编制村庄布局、农房建设、产业发展等规划。推动公共基础设施城乡一体化，基本公共服务向农村延伸。按照</w:t>
      </w:r>
      <w:r>
        <w:rPr>
          <w:color w:val="000000"/>
        </w:rPr>
        <w:t xml:space="preserve">“</w:t>
      </w:r>
      <w:r>
        <w:rPr>
          <w:rFonts w:hint="eastAsia" w:cs="仿宋_GB2312"/>
          <w:color w:val="000000"/>
        </w:rPr>
        <w:t xml:space="preserve">科学规划布局美</w:t>
      </w:r>
      <w:r>
        <w:rPr>
          <w:color w:val="000000"/>
        </w:rPr>
        <w:t xml:space="preserve">”</w:t>
      </w:r>
      <w:r>
        <w:rPr>
          <w:rFonts w:hint="eastAsia" w:cs="仿宋_GB2312"/>
          <w:color w:val="000000"/>
        </w:rPr>
        <w:t xml:space="preserve">的要求，完善通村道路、供水、排水、供电、通信、网络等基础设施。健全乡村环境卫生长效管理机制，按照</w:t>
      </w:r>
      <w:r>
        <w:rPr>
          <w:color w:val="000000"/>
        </w:rPr>
        <w:t xml:space="preserve">“</w:t>
      </w:r>
      <w:r>
        <w:rPr>
          <w:rFonts w:hint="eastAsia" w:cs="仿宋_GB2312"/>
          <w:color w:val="000000"/>
        </w:rPr>
        <w:t xml:space="preserve">村容整洁环境美</w:t>
      </w:r>
      <w:r>
        <w:rPr>
          <w:color w:val="000000"/>
        </w:rPr>
        <w:t xml:space="preserve">”</w:t>
      </w:r>
      <w:r>
        <w:rPr>
          <w:rFonts w:hint="eastAsia" w:cs="仿宋_GB2312"/>
          <w:color w:val="000000"/>
        </w:rPr>
        <w:t xml:space="preserve">的要求，全面推进村容村貌环境综合整治，深入实施</w:t>
      </w:r>
      <w:r>
        <w:rPr>
          <w:color w:val="000000"/>
        </w:rPr>
        <w:t xml:space="preserve">“</w:t>
      </w:r>
      <w:r>
        <w:rPr>
          <w:rFonts w:hint="eastAsia" w:cs="仿宋_GB2312"/>
          <w:color w:val="000000"/>
        </w:rPr>
        <w:t xml:space="preserve">五清一改</w:t>
      </w:r>
      <w:r>
        <w:rPr>
          <w:color w:val="000000"/>
        </w:rPr>
        <w:t xml:space="preserve">”</w:t>
      </w:r>
      <w:r>
        <w:rPr>
          <w:rFonts w:hint="eastAsia"/>
          <w:color w:val="000000"/>
        </w:rPr>
        <w:t xml:space="preserve">和“清三边治三乱建三园”</w:t>
      </w:r>
      <w:r>
        <w:rPr>
          <w:rFonts w:hint="eastAsia" w:cs="仿宋_GB2312"/>
          <w:color w:val="000000"/>
        </w:rPr>
        <w:t xml:space="preserve">村庄清洁行动，强力实施农村生活污水污染治理工程。进一步巩固提升农村“厕所革命”成果，整村推进“厕所革命”，强化厕所粪污处理和资源化利用，健全完善管护长效机制</w:t>
      </w:r>
      <w:r>
        <w:rPr>
          <w:rFonts w:hint="eastAsia" w:cs="仿宋_GB2312"/>
          <w:color w:val="000000"/>
          <w:lang w:val="en-US"/>
        </w:rPr>
        <w:t xml:space="preserve">。</w:t>
      </w:r>
      <w:r>
        <w:rPr>
          <w:rFonts w:hint="eastAsia" w:cs="仿宋_GB2312"/>
          <w:color w:val="000000"/>
        </w:rPr>
        <w:t xml:space="preserve">推进</w:t>
      </w:r>
      <w:r>
        <w:rPr>
          <w:color w:val="000000"/>
        </w:rPr>
        <w:t xml:space="preserve">“</w:t>
      </w:r>
      <w:r>
        <w:rPr>
          <w:rFonts w:hint="eastAsia" w:cs="仿宋_GB2312"/>
          <w:color w:val="000000"/>
        </w:rPr>
        <w:t xml:space="preserve">农村文化</w:t>
      </w:r>
      <w:r>
        <w:rPr>
          <w:color w:val="000000"/>
        </w:rPr>
        <w:t xml:space="preserve">”</w:t>
      </w:r>
      <w:r>
        <w:rPr>
          <w:rFonts w:hint="eastAsia" w:cs="仿宋_GB2312"/>
          <w:color w:val="000000"/>
        </w:rPr>
        <w:t xml:space="preserve">工程，完善农村文化站、体育设施建设，按照</w:t>
      </w:r>
      <w:r>
        <w:rPr>
          <w:color w:val="000000"/>
        </w:rPr>
        <w:t xml:space="preserve">“</w:t>
      </w:r>
      <w:r>
        <w:rPr>
          <w:rFonts w:hint="eastAsia" w:cs="仿宋_GB2312"/>
          <w:color w:val="000000"/>
        </w:rPr>
        <w:t xml:space="preserve">乡风文明身心美</w:t>
      </w:r>
      <w:r>
        <w:rPr>
          <w:color w:val="000000"/>
        </w:rPr>
        <w:t xml:space="preserve">”</w:t>
      </w:r>
      <w:r>
        <w:rPr>
          <w:rFonts w:hint="eastAsia" w:cs="仿宋_GB2312"/>
          <w:color w:val="000000"/>
        </w:rPr>
        <w:t xml:space="preserve">的要求，以提高农民群众生态文明素养、形成农村生态文明新风尚为目标，增强村民的可持续发展观念，构建和谐的农村生态文化体系。培育特色文化村，编制农村特色文化村落保护方案，加快传统村落的开发与保护，不断推进传统村落与美丽乡村相融相通创新性发展。创新乡村治理体系，实施</w:t>
      </w:r>
      <w:r>
        <w:rPr>
          <w:color w:val="000000"/>
        </w:rPr>
        <w:t xml:space="preserve">“</w:t>
      </w:r>
      <w:r>
        <w:rPr>
          <w:rFonts w:hint="eastAsia" w:cs="仿宋_GB2312"/>
          <w:color w:val="000000"/>
        </w:rPr>
        <w:t xml:space="preserve">红色头雁</w:t>
      </w:r>
      <w:r>
        <w:rPr>
          <w:color w:val="000000"/>
        </w:rPr>
        <w:t xml:space="preserve">”</w:t>
      </w:r>
      <w:r>
        <w:rPr>
          <w:rFonts w:hint="eastAsia" w:cs="仿宋_GB2312"/>
          <w:color w:val="000000"/>
        </w:rPr>
        <w:t xml:space="preserve">工程，夯实乡村治理根基，创新</w:t>
      </w:r>
      <w:r>
        <w:rPr>
          <w:color w:val="000000"/>
        </w:rPr>
        <w:t xml:space="preserve">“</w:t>
      </w:r>
      <w:r>
        <w:rPr>
          <w:rFonts w:hint="eastAsia" w:cs="仿宋_GB2312"/>
          <w:color w:val="000000"/>
        </w:rPr>
        <w:t xml:space="preserve">四位一体</w:t>
      </w:r>
      <w:r>
        <w:rPr>
          <w:color w:val="000000"/>
        </w:rPr>
        <w:t xml:space="preserve">”</w:t>
      </w:r>
      <w:r>
        <w:rPr>
          <w:rFonts w:hint="eastAsia" w:cs="仿宋_GB2312"/>
          <w:color w:val="000000"/>
        </w:rPr>
        <w:t xml:space="preserve">治理架构，提升乡村治理水平，构建城乡一体防控体系，强化基层治理能力。坚持“五级书记”抓美丽乡村建设，按照“产业兴旺、生态宜居、乡风文明、治理有效、生活富裕”的总要求，坚持规划引领，因地制宜探索美丽乡村建设模式，打造具有随州特色的美丽乡村示范片，到</w:t>
      </w:r>
      <w:r>
        <w:rPr>
          <w:rFonts w:hint="eastAsia" w:cs="仿宋_GB2312"/>
          <w:color w:val="000000"/>
          <w:lang w:val="en-US"/>
        </w:rPr>
        <w:t xml:space="preserve">2025年，</w:t>
      </w:r>
      <w:r>
        <w:rPr>
          <w:rFonts w:hint="eastAsia" w:cs="仿宋_GB2312"/>
          <w:color w:val="000000"/>
        </w:rPr>
        <w:t xml:space="preserve">力争</w:t>
      </w:r>
      <w:r>
        <w:rPr>
          <w:rFonts w:hint="eastAsia" w:cs="仿宋_GB2312"/>
          <w:color w:val="000000"/>
          <w:lang w:val="en-US"/>
        </w:rPr>
        <w:t xml:space="preserve">全市20%左右的村达到示范村标准，80%左右的村达到整治村标准，基本实现美丽乡村全域化</w:t>
      </w:r>
      <w:r>
        <w:rPr>
          <w:rFonts w:hint="eastAsia" w:cs="仿宋_GB2312"/>
          <w:color w:val="000000"/>
        </w:rPr>
        <w:t xml:space="preserve">。实施乡村绿化行动，全面提升乡村绿化水平，到</w:t>
      </w:r>
      <w:r>
        <w:rPr>
          <w:rFonts w:hint="eastAsia" w:cs="仿宋_GB2312"/>
          <w:color w:val="000000"/>
          <w:lang w:val="en-US"/>
        </w:rPr>
        <w:t xml:space="preserve">2025年，建设一批市级森林乡村，争取创建78个国家森林乡村。</w:t>
      </w:r>
      <w:r>
        <w:rPr>
          <w:color w:val="000000"/>
          <w:lang w:val="en-US"/>
        </w:rPr>
      </w:r>
      <w:r>
        <w:rPr>
          <w:color w:val="000000"/>
          <w:lang w:val="en-US"/>
        </w:rPr>
      </w:r>
    </w:p>
    <w:p>
      <w:pPr>
        <w:pStyle w:val="737"/>
        <w:pBdr/>
        <w:spacing/>
        <w:ind w:firstLine="640"/>
        <w:rPr>
          <w:rFonts w:hint="eastAsia"/>
          <w:color w:val="000000"/>
        </w:rPr>
      </w:pPr>
      <w:r>
        <w:rPr>
          <w:rFonts w:hint="eastAsia"/>
          <w:color w:val="000000"/>
        </w:rPr>
      </w:r>
      <w:r>
        <w:rPr>
          <w:rFonts w:hint="eastAsia"/>
          <w:color w:val="000000"/>
        </w:rPr>
      </w:r>
    </w:p>
    <w:p>
      <w:pPr>
        <w:pStyle w:val="739"/>
        <w:pBdr/>
        <w:spacing/>
        <w:ind w:firstLine="720"/>
        <w:rPr>
          <w:rFonts w:hint="eastAsia" w:ascii="黑体" w:hAnsi="黑体" w:eastAsia="黑体" w:cs="黑体"/>
          <w:b w:val="0"/>
          <w:bCs w:val="0"/>
          <w:color w:val="000000"/>
        </w:rPr>
      </w:pPr>
      <w:r/>
      <w:bookmarkStart w:id="59" w:name="_Toc7350"/>
      <w:r>
        <w:rPr>
          <w:rFonts w:hint="eastAsia" w:ascii="黑体" w:hAnsi="黑体" w:eastAsia="黑体" w:cs="黑体"/>
          <w:b w:val="0"/>
          <w:bCs w:val="0"/>
          <w:color w:val="000000"/>
        </w:rPr>
        <w:t xml:space="preserve">三、实现巩固拓展脱贫攻坚成果同乡村振兴有效衔接</w:t>
      </w:r>
      <w:bookmarkEnd w:id="59"/>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rFonts w:hint="eastAsia" w:cs="仿宋_GB2312"/>
          <w:b/>
          <w:bCs/>
          <w:color w:val="000000"/>
        </w:rPr>
      </w:pPr>
      <w:r>
        <w:rPr>
          <w:rFonts w:hint="eastAsia" w:cs="仿宋_GB2312"/>
          <w:color w:val="000000"/>
        </w:rPr>
        <w:t xml:space="preserve">聚焦农村低收入人口，建立常态化帮扶机制，同步推进脱贫攻坚巩固拓展和乡村振兴有效衔接，逐步解决相对贫困问题。</w:t>
      </w:r>
      <w:r>
        <w:rPr>
          <w:rFonts w:hint="eastAsia" w:cs="仿宋_GB2312"/>
          <w:b/>
          <w:bCs/>
          <w:color w:val="000000"/>
        </w:rPr>
      </w:r>
      <w:r>
        <w:rPr>
          <w:rFonts w:hint="eastAsia" w:cs="仿宋_GB2312"/>
          <w:b/>
          <w:bCs/>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筑牢返贫防线。</w:t>
      </w:r>
      <w:r>
        <w:rPr>
          <w:rFonts w:hint="eastAsia" w:cs="仿宋_GB2312"/>
          <w:color w:val="000000"/>
        </w:rPr>
        <w:t xml:space="preserve">持续压实责任，严格落实五年过渡期“四个不摘”的工作要求，保持现有帮扶政策、资金支持、帮扶力</w:t>
      </w:r>
      <w:r>
        <w:rPr>
          <w:rFonts w:hint="eastAsia" w:cs="仿宋_GB2312"/>
          <w:color w:val="000000"/>
          <w:lang w:eastAsia="zh-CN"/>
        </w:rPr>
        <w:t xml:space="preserve">度</w:t>
      </w:r>
      <w:r>
        <w:rPr>
          <w:rFonts w:hint="eastAsia" w:cs="仿宋_GB2312"/>
          <w:color w:val="000000"/>
        </w:rPr>
        <w:t xml:space="preserve">总体稳定。健全防止返贫动态监测和帮扶机制，对脱贫不稳定户、边缘易致贫户、因病因灾因意外事故等刚性支出较大或收入大幅缩减导致基本生活出现严重困难户，开展定期核查，及时发现，及时帮</w:t>
      </w:r>
      <w:r>
        <w:rPr>
          <w:rFonts w:hint="eastAsia" w:cs="仿宋_GB2312"/>
          <w:color w:val="000000"/>
          <w:lang w:eastAsia="zh-CN"/>
        </w:rPr>
        <w:t xml:space="preserve">扶</w:t>
      </w:r>
      <w:r>
        <w:rPr>
          <w:rFonts w:hint="eastAsia" w:cs="仿宋_GB2312"/>
          <w:color w:val="000000"/>
        </w:rPr>
        <w:t xml:space="preserve">，动态清零。加强兜底保障，健全农村社会保障和救助制度，做到应保尽保、应兜尽兜。加强宣传引导，建立起社会参与、信息共享、精准长效的帮扶机制。</w:t>
      </w:r>
      <w:r>
        <w:rPr>
          <w:rFonts w:hint="eastAsia" w:cs="仿宋_GB2312"/>
          <w:color w:val="000000"/>
        </w:rPr>
      </w:r>
      <w:r>
        <w:rPr>
          <w:rFonts w:hint="eastAsia" w:cs="仿宋_GB2312"/>
          <w:color w:val="000000"/>
        </w:rPr>
      </w:r>
    </w:p>
    <w:p>
      <w:pPr>
        <w:pStyle w:val="737"/>
        <w:pBdr/>
        <w:spacing/>
        <w:ind w:firstLine="643"/>
        <w:rPr>
          <w:rFonts w:ascii="楷体_GB2312" w:hAnsi="楷体_GB2312" w:eastAsia="楷体_GB2312" w:cs="楷体_GB2312"/>
          <w:b/>
          <w:bCs/>
          <w:color w:val="000000"/>
          <w:lang w:val="en-US"/>
        </w:rPr>
      </w:pPr>
      <w:r>
        <w:rPr>
          <w:rFonts w:hint="eastAsia" w:ascii="楷体_GB2312" w:hAnsi="楷体_GB2312" w:eastAsia="楷体_GB2312" w:cs="楷体_GB2312"/>
          <w:b/>
          <w:bCs/>
          <w:color w:val="000000"/>
        </w:rPr>
        <w:t xml:space="preserve">巩固拓展脱贫攻坚成果。</w:t>
      </w:r>
      <w:r>
        <w:rPr>
          <w:rFonts w:hint="eastAsia" w:cs="仿宋_GB2312"/>
          <w:color w:val="000000"/>
        </w:rPr>
        <w:t xml:space="preserve">推动“两香一油”等特色产业与乡村旅游、电商融合发展，大力开展旅游扶贫、电商扶贫。推广“企业</w:t>
      </w:r>
      <w:r>
        <w:rPr>
          <w:rFonts w:hint="eastAsia" w:cs="仿宋_GB2312"/>
          <w:color w:val="000000"/>
          <w:lang w:val="en-US"/>
        </w:rPr>
        <w:t xml:space="preserve">+合作社+基地+贫困户”“双订单”和“产+销”一体化等产业扶贫模式，确保低收入人口持续稳定增收。引导经济薄弱村多元化发展村集体产业，增强村集体经济收入，实现乡村“产业增效、农户增收、集体经济壮大”。加大扶贫产品认证力度，加快消费扶贫专柜、专馆、专区建设，加大互联网销售力度，不断拓展扶贫产品销售渠道。</w:t>
      </w:r>
      <w:r>
        <w:rPr>
          <w:rFonts w:hint="eastAsia" w:hAnsi="仿宋" w:cs="仿宋"/>
          <w:color w:val="000000"/>
        </w:rPr>
        <w:t xml:space="preserve">持续抓好就业扶贫，加大对脱贫人口职业技能培训力度，</w:t>
      </w:r>
      <w:r>
        <w:rPr>
          <w:rFonts w:hint="eastAsia" w:cs="仿宋_GB2312"/>
          <w:color w:val="000000"/>
          <w:lang w:val="en-US"/>
        </w:rPr>
        <w:t xml:space="preserve">拓宽培训渠道，创新培训方式，为有就业愿望的</w:t>
      </w:r>
      <w:r>
        <w:rPr>
          <w:rFonts w:hint="eastAsia" w:hAnsi="仿宋" w:cs="仿宋"/>
          <w:color w:val="000000"/>
        </w:rPr>
        <w:t xml:space="preserve">脱贫人口做好稳岗就业，促进弱劳力、半劳力家庭就近就地解决就业。</w:t>
      </w:r>
      <w:r>
        <w:rPr>
          <w:rFonts w:hint="eastAsia" w:cs="仿宋_GB2312"/>
          <w:color w:val="000000"/>
          <w:lang w:val="en-US"/>
        </w:rPr>
        <w:t xml:space="preserve">统筹用好乡村公益岗位，健全按需设岗、以岗聘任、在岗领补、有序退岗的管理机制，落实过渡期内逐步调整优化公益岗位政策。强化易地扶贫搬迁后续扶持，因地制宜在搬迁地发展产业，确保搬迁群众稳得住、有就业、逐步能致富。</w:t>
      </w:r>
      <w:r>
        <w:rPr>
          <w:rFonts w:ascii="楷体_GB2312" w:hAnsi="楷体_GB2312" w:eastAsia="楷体_GB2312" w:cs="楷体_GB2312"/>
          <w:b/>
          <w:bCs/>
          <w:color w:val="000000"/>
          <w:lang w:val="en-US"/>
        </w:rPr>
      </w:r>
      <w:r>
        <w:rPr>
          <w:rFonts w:ascii="楷体_GB2312" w:hAnsi="楷体_GB2312" w:eastAsia="楷体_GB2312" w:cs="楷体_GB2312"/>
          <w:b/>
          <w:bCs/>
          <w:color w:val="000000"/>
          <w:lang w:val="en-US"/>
        </w:rPr>
      </w:r>
    </w:p>
    <w:p>
      <w:pPr>
        <w:pStyle w:val="737"/>
        <w:pBdr/>
        <w:spacing/>
        <w:ind w:firstLine="643"/>
        <w:rPr>
          <w:rFonts w:hint="eastAsia" w:hAnsi="仿宋" w:cs="仿宋"/>
          <w:color w:val="000000"/>
        </w:rPr>
      </w:pPr>
      <w:r>
        <w:rPr>
          <w:rFonts w:hint="eastAsia" w:ascii="楷体_GB2312" w:hAnsi="楷体_GB2312" w:eastAsia="楷体_GB2312" w:cs="楷体_GB2312"/>
          <w:b/>
          <w:bCs/>
          <w:color w:val="000000"/>
        </w:rPr>
        <w:t xml:space="preserve">推进持续减贫与乡村振兴有效衔接。</w:t>
      </w:r>
      <w:r>
        <w:rPr>
          <w:rFonts w:hint="eastAsia" w:hAnsi="仿宋" w:cs="仿宋"/>
          <w:color w:val="000000"/>
        </w:rPr>
        <w:t xml:space="preserve">运用脱贫攻坚成功经验推动乡村振兴，推进脱贫攻坚与乡村振兴在规划、政策、产业、组织、人才和项目等方面有效衔接。加强产业衔接，将产业扶贫帮扶资源有序转到乡村产业振兴，推动现有扶贫专项资金和涉农资金整合，支持乡村产业发展。开展扶贫资产管理工作，防止资产闲置和流失，确保扶贫项目发挥最大效益。健全常态驻村工作机制，对巩固拓展脱贫攻坚成果和乡村振兴任务重的村，继续选派驻村第一书记和工作队。建立健全引导各类人才服务乡村振兴长效机制，吸引企业、能人、市民下乡兴乡，增强农业农村发展活力。</w:t>
      </w:r>
      <w:r>
        <w:rPr>
          <w:rFonts w:hint="eastAsia" w:hAnsi="仿宋" w:cs="仿宋"/>
          <w:color w:val="000000"/>
        </w:rPr>
      </w:r>
      <w:r>
        <w:rPr>
          <w:rFonts w:hint="eastAsia" w:hAnsi="仿宋" w:cs="仿宋"/>
          <w:color w:val="000000"/>
        </w:rPr>
      </w:r>
    </w:p>
    <w:p>
      <w:pPr>
        <w:pStyle w:val="737"/>
        <w:pBdr/>
        <w:spacing/>
        <w:ind w:firstLine="640"/>
        <w:rPr>
          <w:color w:val="000000"/>
        </w:rPr>
      </w:pPr>
      <w:r>
        <w:rPr>
          <w:rFonts w:hint="eastAsia" w:hAnsi="仿宋" w:cs="仿宋"/>
          <w:color w:val="000000"/>
        </w:rPr>
        <w:br w:type="page" w:clear="all"/>
      </w:r>
      <w:r>
        <w:rPr>
          <w:color w:val="000000"/>
        </w:rPr>
      </w:r>
      <w:r>
        <w:rPr>
          <w:color w:val="000000"/>
        </w:rPr>
      </w:r>
    </w:p>
    <w:p>
      <w:pPr>
        <w:pStyle w:val="737"/>
        <w:pBdr/>
        <w:spacing/>
        <w:ind w:firstLine="640"/>
        <w:rPr>
          <w:color w:val="000000"/>
        </w:rPr>
      </w:pPr>
      <w:r>
        <w:rPr>
          <w:color w:val="000000"/>
        </w:rPr>
      </w:r>
      <w:r>
        <w:rPr>
          <w:color w:val="000000"/>
        </w:rPr>
      </w:r>
    </w:p>
    <w:p>
      <w:pPr>
        <w:pStyle w:val="738"/>
        <w:pBdr/>
        <w:spacing/>
        <w:ind/>
        <w:rPr>
          <w:rFonts w:eastAsia="方正小标宋简体"/>
          <w:b w:val="0"/>
          <w:bCs w:val="0"/>
          <w:color w:val="000000"/>
          <w:sz w:val="36"/>
          <w:szCs w:val="36"/>
        </w:rPr>
      </w:pPr>
      <w:r/>
      <w:bookmarkStart w:id="60" w:name="_Toc19712"/>
      <w:r>
        <w:rPr>
          <w:rFonts w:hint="eastAsia" w:eastAsia="方正小标宋简体" w:cs="方正小标宋简体"/>
          <w:b w:val="0"/>
          <w:bCs w:val="0"/>
          <w:color w:val="000000"/>
          <w:sz w:val="36"/>
          <w:szCs w:val="36"/>
        </w:rPr>
        <w:t xml:space="preserve">第九章</w:t>
      </w:r>
      <w:r>
        <w:rPr>
          <w:rFonts w:eastAsia="方正小标宋简体"/>
          <w:b w:val="0"/>
          <w:bCs w:val="0"/>
          <w:color w:val="000000"/>
          <w:sz w:val="36"/>
          <w:szCs w:val="36"/>
        </w:rPr>
        <w:t xml:space="preserve"> </w:t>
      </w:r>
      <w:r>
        <w:rPr>
          <w:rFonts w:hint="eastAsia" w:eastAsia="方正小标宋简体" w:cs="方正小标宋简体"/>
          <w:b w:val="0"/>
          <w:bCs w:val="0"/>
          <w:color w:val="000000"/>
          <w:sz w:val="36"/>
          <w:szCs w:val="36"/>
        </w:rPr>
        <w:t xml:space="preserve">推动更高质量改革</w:t>
      </w:r>
      <w:bookmarkEnd w:id="60"/>
      <w:r>
        <w:rPr>
          <w:rFonts w:eastAsia="方正小标宋简体"/>
          <w:b w:val="0"/>
          <w:bCs w:val="0"/>
          <w:color w:val="000000"/>
          <w:sz w:val="36"/>
          <w:szCs w:val="36"/>
        </w:rPr>
      </w:r>
      <w:r>
        <w:rPr>
          <w:rFonts w:eastAsia="方正小标宋简体"/>
          <w:b w:val="0"/>
          <w:bCs w:val="0"/>
          <w:color w:val="000000"/>
          <w:sz w:val="36"/>
          <w:szCs w:val="36"/>
        </w:rPr>
      </w:r>
    </w:p>
    <w:p>
      <w:pPr>
        <w:pStyle w:val="738"/>
        <w:pBdr/>
        <w:spacing/>
        <w:ind/>
        <w:rPr>
          <w:rFonts w:eastAsia="方正小标宋简体"/>
          <w:b w:val="0"/>
          <w:bCs w:val="0"/>
          <w:color w:val="000000"/>
          <w:sz w:val="36"/>
          <w:szCs w:val="36"/>
        </w:rPr>
      </w:pPr>
      <w:r/>
      <w:bookmarkStart w:id="61" w:name="_Toc12735"/>
      <w:r>
        <w:rPr>
          <w:rFonts w:hint="eastAsia" w:eastAsia="方正小标宋简体" w:cs="方正小标宋简体"/>
          <w:b w:val="0"/>
          <w:bCs w:val="0"/>
          <w:color w:val="000000"/>
          <w:sz w:val="36"/>
          <w:szCs w:val="36"/>
        </w:rPr>
        <w:t xml:space="preserve">构建高水平社会主义市场经济体制</w:t>
      </w:r>
      <w:bookmarkEnd w:id="61"/>
      <w:r>
        <w:rPr>
          <w:rFonts w:eastAsia="方正小标宋简体"/>
          <w:b w:val="0"/>
          <w:bCs w:val="0"/>
          <w:color w:val="000000"/>
          <w:sz w:val="36"/>
          <w:szCs w:val="36"/>
        </w:rPr>
      </w:r>
      <w:r>
        <w:rPr>
          <w:rFonts w:eastAsia="方正小标宋简体"/>
          <w:b w:val="0"/>
          <w:bCs w:val="0"/>
          <w:color w:val="000000"/>
          <w:sz w:val="36"/>
          <w:szCs w:val="36"/>
        </w:rPr>
      </w:r>
    </w:p>
    <w:p>
      <w:pPr>
        <w:pStyle w:val="737"/>
        <w:pBdr/>
        <w:spacing/>
        <w:ind w:firstLine="640"/>
        <w:rPr>
          <w:color w:val="000000"/>
        </w:rPr>
      </w:pPr>
      <w:r>
        <w:rPr>
          <w:color w:val="000000"/>
        </w:rPr>
      </w:r>
      <w:r>
        <w:rPr>
          <w:color w:val="000000"/>
        </w:rPr>
      </w:r>
    </w:p>
    <w:p>
      <w:pPr>
        <w:pStyle w:val="737"/>
        <w:pBdr/>
        <w:spacing/>
        <w:ind w:firstLine="640"/>
        <w:rPr>
          <w:rStyle w:val="774"/>
          <w:b w:val="0"/>
          <w:bCs w:val="0"/>
          <w:color w:val="000000"/>
        </w:rPr>
      </w:pPr>
      <w:r>
        <w:rPr>
          <w:rStyle w:val="774"/>
          <w:rFonts w:hint="eastAsia" w:cs="仿宋_GB2312"/>
          <w:b w:val="0"/>
          <w:bCs w:val="0"/>
          <w:color w:val="000000"/>
        </w:rPr>
        <w:t xml:space="preserve">全面深化改革，</w:t>
      </w:r>
      <w:r>
        <w:rPr>
          <w:rStyle w:val="774"/>
          <w:rFonts w:hint="eastAsia" w:cs="仿宋_GB2312"/>
          <w:b w:val="0"/>
          <w:bCs w:val="0"/>
          <w:color w:val="000000"/>
          <w:lang w:eastAsia="zh-CN"/>
        </w:rPr>
        <w:t xml:space="preserve">充分发挥</w:t>
      </w:r>
      <w:r>
        <w:rPr>
          <w:rStyle w:val="774"/>
          <w:rFonts w:hint="eastAsia" w:cs="仿宋_GB2312"/>
          <w:b w:val="0"/>
          <w:bCs w:val="0"/>
          <w:color w:val="000000"/>
        </w:rPr>
        <w:t xml:space="preserve">市场在资源配置中</w:t>
      </w:r>
      <w:r>
        <w:rPr>
          <w:rStyle w:val="774"/>
          <w:rFonts w:hint="eastAsia" w:cs="仿宋_GB2312"/>
          <w:b w:val="0"/>
          <w:bCs w:val="0"/>
          <w:color w:val="000000"/>
          <w:lang w:eastAsia="zh-CN"/>
        </w:rPr>
        <w:t xml:space="preserve">的</w:t>
      </w:r>
      <w:r>
        <w:rPr>
          <w:rStyle w:val="774"/>
          <w:rFonts w:hint="eastAsia" w:cs="仿宋_GB2312"/>
          <w:b w:val="0"/>
          <w:bCs w:val="0"/>
          <w:color w:val="000000"/>
        </w:rPr>
        <w:t xml:space="preserve">决定性作用</w:t>
      </w:r>
      <w:r>
        <w:rPr>
          <w:rStyle w:val="774"/>
          <w:rFonts w:hint="eastAsia" w:cs="仿宋_GB2312"/>
          <w:b w:val="0"/>
          <w:bCs w:val="0"/>
          <w:color w:val="000000"/>
          <w:lang w:eastAsia="zh-CN"/>
        </w:rPr>
        <w:t xml:space="preserve">和</w:t>
      </w:r>
      <w:r>
        <w:rPr>
          <w:rStyle w:val="774"/>
          <w:rFonts w:hint="eastAsia" w:cs="仿宋_GB2312"/>
          <w:b w:val="0"/>
          <w:bCs w:val="0"/>
          <w:color w:val="000000"/>
        </w:rPr>
        <w:t xml:space="preserve">更好发挥政府作用，以激发市场活力为重点，不断优化营商环境，深化要素市场改革，切实打开释放经济发展</w:t>
      </w:r>
      <w:r>
        <w:rPr>
          <w:rStyle w:val="774"/>
          <w:rFonts w:hint="eastAsia" w:cs="仿宋_GB2312"/>
          <w:b w:val="0"/>
          <w:bCs w:val="0"/>
          <w:color w:val="000000"/>
          <w:lang w:eastAsia="zh-CN"/>
        </w:rPr>
        <w:t xml:space="preserve">活</w:t>
      </w:r>
      <w:r>
        <w:rPr>
          <w:rStyle w:val="774"/>
          <w:rFonts w:hint="eastAsia" w:cs="仿宋_GB2312"/>
          <w:b w:val="0"/>
          <w:bCs w:val="0"/>
          <w:color w:val="000000"/>
        </w:rPr>
        <w:t xml:space="preserve">力的通道，做大做强实体经济。</w:t>
      </w:r>
      <w:r>
        <w:rPr>
          <w:rStyle w:val="774"/>
          <w:b w:val="0"/>
          <w:bCs w:val="0"/>
          <w:color w:val="000000"/>
        </w:rPr>
      </w:r>
      <w:r>
        <w:rPr>
          <w:rStyle w:val="774"/>
          <w:b w:val="0"/>
          <w:bCs w:val="0"/>
          <w:color w:val="000000"/>
        </w:rPr>
      </w:r>
    </w:p>
    <w:p>
      <w:pPr>
        <w:pStyle w:val="737"/>
        <w:pBdr/>
        <w:spacing/>
        <w:ind w:firstLine="640"/>
        <w:rPr>
          <w:rStyle w:val="774"/>
          <w:b w:val="0"/>
          <w:bCs w:val="0"/>
          <w:color w:val="000000"/>
        </w:rPr>
      </w:pPr>
      <w:r>
        <w:rPr>
          <w:rStyle w:val="774"/>
          <w:b w:val="0"/>
          <w:bCs w:val="0"/>
          <w:color w:val="000000"/>
        </w:rPr>
      </w:r>
      <w:r>
        <w:rPr>
          <w:rStyle w:val="774"/>
          <w:b w:val="0"/>
          <w:bCs w:val="0"/>
          <w:color w:val="000000"/>
        </w:rPr>
      </w:r>
    </w:p>
    <w:p>
      <w:pPr>
        <w:pStyle w:val="739"/>
        <w:pBdr/>
        <w:spacing/>
        <w:ind w:firstLine="720"/>
        <w:rPr>
          <w:rFonts w:hint="eastAsia" w:ascii="黑体" w:hAnsi="黑体" w:eastAsia="黑体" w:cs="黑体"/>
          <w:b w:val="0"/>
          <w:bCs w:val="0"/>
          <w:color w:val="000000"/>
        </w:rPr>
      </w:pPr>
      <w:r/>
      <w:bookmarkStart w:id="62" w:name="_Toc94"/>
      <w:r>
        <w:rPr>
          <w:rFonts w:hint="eastAsia" w:ascii="黑体" w:hAnsi="黑体" w:eastAsia="黑体" w:cs="黑体"/>
          <w:b w:val="0"/>
          <w:bCs w:val="0"/>
          <w:color w:val="000000"/>
        </w:rPr>
        <w:t xml:space="preserve">一、激发市场主体活力</w:t>
      </w:r>
      <w:bookmarkEnd w:id="62"/>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大力发展民营经济。</w:t>
      </w:r>
      <w:r>
        <w:rPr>
          <w:rFonts w:hint="eastAsia" w:cs="仿宋_GB2312"/>
          <w:color w:val="000000"/>
        </w:rPr>
        <w:t xml:space="preserve">鼓励、支持、引导民营企业建立“治理结构合理、股东行为规范、内部约束有效、运营高效灵活”的现代企业制度，增强民营企业建立现代企业制度的主动性和规范性，进一步释放民营企业发展活力。完善法人产权制度，支持非公有制经济健康发展，鼓励民营企业推进产权制度创新。推进要素配置市场化改革，积极承接东部地区民营经济产业转移，全面放开竞争性行业和垄断行业的竞争性业务，健全公平竞争审查机制，加强反垄断和反不正当竞争执法，消除民间资本进入的隐</w:t>
      </w:r>
      <w:r>
        <w:rPr>
          <w:rFonts w:hint="eastAsia" w:cs="仿宋_GB2312"/>
          <w:color w:val="000000"/>
          <w:lang w:eastAsia="zh-CN"/>
        </w:rPr>
        <w:t xml:space="preserve">性</w:t>
      </w:r>
      <w:r>
        <w:rPr>
          <w:rFonts w:hint="eastAsia" w:cs="仿宋_GB2312"/>
          <w:color w:val="000000"/>
        </w:rPr>
        <w:t xml:space="preserve">壁垒。进一步放宽民间投资准入领域，允许民营资本进入能源、交通等垄断领域，支持民间资本以独资、合作、联营、参股、特许经营、</w:t>
      </w:r>
      <w:r>
        <w:rPr>
          <w:color w:val="000000"/>
        </w:rPr>
        <w:t xml:space="preserve">BOT</w:t>
      </w:r>
      <w:r>
        <w:rPr>
          <w:rFonts w:hint="eastAsia" w:cs="仿宋_GB2312"/>
          <w:color w:val="000000"/>
        </w:rPr>
        <w:t xml:space="preserve">等方式，参与市政公用事业和基础设施的投资。</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深化国资国企改革</w:t>
      </w:r>
      <w:r>
        <w:rPr>
          <w:rFonts w:hint="eastAsia" w:cs="仿宋_GB2312"/>
          <w:b/>
          <w:bCs/>
          <w:color w:val="000000"/>
        </w:rPr>
        <w:t xml:space="preserve">。</w:t>
      </w:r>
      <w:r>
        <w:rPr>
          <w:rFonts w:hint="eastAsia" w:cs="仿宋_GB2312"/>
          <w:color w:val="000000"/>
        </w:rPr>
        <w:t xml:space="preserve">积极发展国有资本、集体资本、非公有资本等交叉持股、相互融合的混合所有制经济，创建全省混合所有制改革试点示范区。构建以管资本为主的国资监管体制，优化调整国有经济布局结构，巩固扩大国企混合所有制改革，推进随州市优质企业与央（省）国企进行对接合作。改革国有资本授权经营体制，加快推进市属国有出资企业转型发展，做大做强随州国投，形成资产规模过</w:t>
      </w:r>
      <w:r>
        <w:rPr>
          <w:color w:val="000000"/>
        </w:rPr>
        <w:t xml:space="preserve">500</w:t>
      </w:r>
      <w:r>
        <w:rPr>
          <w:rFonts w:hint="eastAsia" w:cs="仿宋_GB2312"/>
          <w:color w:val="000000"/>
        </w:rPr>
        <w:t xml:space="preserve">亿的市属国有资本投资运营集团。</w:t>
      </w:r>
      <w:r>
        <w:rPr>
          <w:color w:val="000000"/>
        </w:rPr>
      </w:r>
      <w:r>
        <w:rPr>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bookmarkStart w:id="63" w:name="_Toc17626"/>
      <w:r>
        <w:rPr>
          <w:rFonts w:hint="eastAsia" w:ascii="黑体" w:hAnsi="黑体" w:eastAsia="黑体" w:cs="黑体"/>
          <w:b w:val="0"/>
          <w:bCs w:val="0"/>
          <w:color w:val="000000"/>
        </w:rPr>
        <w:t xml:space="preserve">二、持续优化营商环境</w:t>
      </w:r>
      <w:bookmarkEnd w:id="63"/>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深化商事制度改革</w:t>
      </w:r>
      <w:r>
        <w:rPr>
          <w:rFonts w:hint="eastAsia" w:cs="仿宋_GB2312"/>
          <w:b/>
          <w:bCs/>
          <w:color w:val="000000"/>
        </w:rPr>
        <w:t xml:space="preserve">。</w:t>
      </w:r>
      <w:r>
        <w:rPr>
          <w:rFonts w:hint="eastAsia" w:cs="仿宋_GB2312"/>
          <w:color w:val="000000"/>
        </w:rPr>
        <w:t xml:space="preserve">践行</w:t>
      </w:r>
      <w:r>
        <w:rPr>
          <w:color w:val="000000"/>
        </w:rPr>
        <w:t xml:space="preserve">“</w:t>
      </w:r>
      <w:r>
        <w:rPr>
          <w:rFonts w:hint="eastAsia" w:cs="仿宋_GB2312"/>
          <w:color w:val="000000"/>
        </w:rPr>
        <w:t xml:space="preserve">有呼必应、无事不扰</w:t>
      </w:r>
      <w:r>
        <w:rPr>
          <w:color w:val="000000"/>
        </w:rPr>
        <w:t xml:space="preserve">”</w:t>
      </w:r>
      <w:r>
        <w:rPr>
          <w:rFonts w:hint="eastAsia" w:cs="仿宋_GB2312"/>
          <w:color w:val="000000"/>
        </w:rPr>
        <w:t xml:space="preserve">的服务理念，努力使随州成为全省审批事项最少、办事效率最高、投资环境最优、企业获得感最强的城市之一。推进统一市场主体登记注册业务规范、数据标准和服务平台建设，实现企业开办线上全程网办、线下一窗联办。推进“证照分离”改革全覆盖，完善市场主体退出机制，优化企业注销办理流程。</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深化“放管服”改革</w:t>
      </w:r>
      <w:r>
        <w:rPr>
          <w:rFonts w:hint="eastAsia" w:cs="仿宋_GB2312"/>
          <w:b/>
          <w:bCs/>
          <w:color w:val="000000"/>
        </w:rPr>
        <w:t xml:space="preserve">。</w:t>
      </w:r>
      <w:r>
        <w:rPr>
          <w:rFonts w:hint="eastAsia" w:cs="仿宋_GB2312"/>
          <w:color w:val="000000"/>
        </w:rPr>
        <w:t xml:space="preserve">全面推进政府精细化管理和个性化服务体系建设，进一步整合优化政务服务便民热线，提高政府办事效率。强化市县政务服务大厅“一站式”服务功能，围绕高效办成一件事，大力推进减环节、减材料、减时限、减跑动，实现流程再造，提高全程网办率，力争做到“网上办、马上办、就近办、一次办”，实现政务服务事项“一事联办、一网通办、一窗通办”。推进市场监管领域部门联合“双随机、一公开”监管工作全覆盖、常态化，加强事中事后监管，构建以信用为基础的新型市场监管机制。严格执行涉企收费清单、收费标准，确保清单之外无政府定价收费。</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深化信用体系建设</w:t>
      </w:r>
      <w:r>
        <w:rPr>
          <w:rFonts w:hint="eastAsia" w:cs="仿宋_GB2312"/>
          <w:b/>
          <w:bCs/>
          <w:color w:val="000000"/>
        </w:rPr>
        <w:t xml:space="preserve">。</w:t>
      </w:r>
      <w:r>
        <w:rPr>
          <w:rFonts w:hint="eastAsia" w:cs="仿宋_GB2312"/>
          <w:color w:val="000000"/>
        </w:rPr>
        <w:t xml:space="preserve">建设诚信政府，依法推进政务公开，加强社会信用信息共建共享、完善信用评价和失信惩戒机制，打造一流社会信用体系。推进</w:t>
      </w:r>
      <w:r>
        <w:rPr>
          <w:color w:val="000000"/>
        </w:rPr>
        <w:t xml:space="preserve">“</w:t>
      </w:r>
      <w:r>
        <w:rPr>
          <w:rFonts w:hint="eastAsia" w:cs="仿宋_GB2312"/>
          <w:color w:val="000000"/>
        </w:rPr>
        <w:t xml:space="preserve">数字诚信</w:t>
      </w:r>
      <w:r>
        <w:rPr>
          <w:color w:val="000000"/>
        </w:rPr>
        <w:t xml:space="preserve">”</w:t>
      </w:r>
      <w:r>
        <w:rPr>
          <w:rFonts w:hint="eastAsia" w:cs="仿宋_GB2312"/>
          <w:color w:val="000000"/>
        </w:rPr>
        <w:t xml:space="preserve">建设，建设市级信用信息归集共享平台。推广行政执法管理与监督云平台，实现行政执法信息化。加快推进公共信用信息应用平台建设，优化公共信用综合评价和信用监测预警体系，完善行业信用信息应用事项清单。落实</w:t>
      </w:r>
      <w:r>
        <w:rPr>
          <w:color w:val="000000"/>
        </w:rPr>
        <w:t xml:space="preserve">“</w:t>
      </w:r>
      <w:r>
        <w:rPr>
          <w:rFonts w:hint="eastAsia" w:cs="仿宋_GB2312"/>
          <w:color w:val="000000"/>
        </w:rPr>
        <w:t xml:space="preserve">红黑名单</w:t>
      </w:r>
      <w:r>
        <w:rPr>
          <w:color w:val="000000"/>
        </w:rPr>
        <w:t xml:space="preserve">”</w:t>
      </w:r>
      <w:r>
        <w:rPr>
          <w:rFonts w:hint="eastAsia" w:cs="仿宋_GB2312"/>
          <w:color w:val="000000"/>
        </w:rPr>
        <w:t xml:space="preserve">制度，开展清单式联合奖惩。</w:t>
      </w:r>
      <w:r>
        <w:rPr>
          <w:color w:val="000000"/>
        </w:rPr>
      </w:r>
      <w:r>
        <w:rPr>
          <w:color w:val="000000"/>
        </w:rPr>
      </w:r>
    </w:p>
    <w:p>
      <w:pPr>
        <w:pStyle w:val="737"/>
        <w:pBdr/>
        <w:spacing/>
        <w:ind w:firstLine="640"/>
        <w:rPr>
          <w:color w:val="000000"/>
          <w:lang w:val="en-US"/>
        </w:rPr>
      </w:pPr>
      <w:r>
        <w:rPr>
          <w:color w:val="000000"/>
          <w:lang w:val="en-US"/>
        </w:rPr>
      </w:r>
      <w:r>
        <w:rPr>
          <w:color w:val="000000"/>
          <w:lang w:val="en-US"/>
        </w:rPr>
      </w:r>
    </w:p>
    <w:p>
      <w:pPr>
        <w:pStyle w:val="739"/>
        <w:pBdr/>
        <w:spacing/>
        <w:ind w:firstLine="720"/>
        <w:rPr>
          <w:rFonts w:hint="eastAsia" w:ascii="黑体" w:hAnsi="黑体" w:eastAsia="黑体" w:cs="黑体"/>
          <w:b w:val="0"/>
          <w:bCs w:val="0"/>
          <w:color w:val="000000"/>
        </w:rPr>
      </w:pPr>
      <w:r/>
      <w:bookmarkStart w:id="64" w:name="_Toc12685"/>
      <w:r>
        <w:rPr>
          <w:rFonts w:hint="eastAsia" w:ascii="黑体" w:hAnsi="黑体" w:eastAsia="黑体" w:cs="黑体"/>
          <w:b w:val="0"/>
          <w:bCs w:val="0"/>
          <w:color w:val="000000"/>
        </w:rPr>
        <w:t xml:space="preserve">三、深化要素市场改革</w:t>
      </w:r>
      <w:bookmarkEnd w:id="64"/>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3"/>
        <w:rPr>
          <w:rFonts w:hint="eastAsia"/>
          <w:color w:val="000000"/>
        </w:rPr>
      </w:pPr>
      <w:r>
        <w:rPr>
          <w:rFonts w:hint="eastAsia" w:ascii="楷体_GB2312" w:hAnsi="楷体_GB2312" w:eastAsia="楷体_GB2312" w:cs="楷体_GB2312"/>
          <w:b/>
          <w:bCs/>
          <w:color w:val="000000"/>
        </w:rPr>
        <w:t xml:space="preserve">深化土地市场改革</w:t>
      </w:r>
      <w:r>
        <w:rPr>
          <w:rFonts w:hint="eastAsia" w:cs="仿宋_GB2312"/>
          <w:b/>
          <w:bCs/>
          <w:color w:val="000000"/>
        </w:rPr>
        <w:t xml:space="preserve">。</w:t>
      </w:r>
      <w:r>
        <w:rPr>
          <w:rFonts w:hint="eastAsia" w:cs="仿宋_GB2312"/>
          <w:color w:val="000000"/>
        </w:rPr>
        <w:t xml:space="preserve">建立健全城乡统一的建设用地市场，盘活存量建设用地，实行最严格自然资源节约集约高效利用制度。深化土地要素配置和差别化用地机制改革，建立健全工业用地弹性年期出让和低效利用土地退出机制，实现土地高效利用。完善土地征收制度，研究制定土地征收目录，规范土地征收程序，建立社会稳定风险评估制度。健全土地流转规范管理制度，加强土地经营权流转和规模经营管理服务。</w:t>
      </w:r>
      <w:r>
        <w:rPr>
          <w:rFonts w:hint="eastAsia"/>
          <w:color w:val="000000"/>
        </w:rPr>
      </w:r>
      <w:r>
        <w:rPr>
          <w:rFonts w:hint="eastAsia"/>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加快财税金融体制改革创新</w:t>
      </w:r>
      <w:r>
        <w:rPr>
          <w:rFonts w:hint="eastAsia" w:cs="仿宋_GB2312"/>
          <w:b/>
          <w:bCs/>
          <w:color w:val="000000"/>
        </w:rPr>
        <w:t xml:space="preserve">。</w:t>
      </w:r>
      <w:r>
        <w:rPr>
          <w:rFonts w:hint="eastAsia" w:hAnsi="仿宋" w:cs="仿宋"/>
          <w:color w:val="000000"/>
        </w:rPr>
        <w:t xml:space="preserve">加强财政资源统筹，完善中期财政规划管理，保障重大决策、重大项目和重点工作落实。深化预算管理制度改革，推进预算管理一体化、财政支出标准化，强化预算约束和绩效管理。推进市县两级财政事权和支出责任划分改革，完善市以下财政管理体制。培育壮大地方财源，完善财税征管体系，提高财政收入质量。依法构建管理规范、责任清晰、公开透明、风险可控的政府举债融资机制，强化监督。积极引进各类金融机构，丰富金融业态，增强金融有效供给，</w:t>
      </w:r>
      <w:r>
        <w:rPr>
          <w:rFonts w:hint="eastAsia" w:cs="仿宋_GB2312"/>
          <w:color w:val="000000"/>
        </w:rPr>
        <w:t xml:space="preserve">通过投贷联运等方式加强信贷支持，为企业融资建立多元化、可持续的资金保障机制。</w:t>
      </w:r>
      <w:r>
        <w:rPr>
          <w:rFonts w:hint="eastAsia" w:hAnsi="仿宋" w:cs="仿宋"/>
          <w:color w:val="000000"/>
        </w:rPr>
        <w:t xml:space="preserve">引导金融机构优化创新产品和服务，打造线上线下一站式综合金融服务平台。大力发展普惠金融，有效保障中小微民营企业和“三农”融资需求。</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深化投融资体制改革</w:t>
      </w:r>
      <w:r>
        <w:rPr>
          <w:rFonts w:hint="eastAsia" w:cs="仿宋_GB2312"/>
          <w:b/>
          <w:bCs/>
          <w:color w:val="000000"/>
        </w:rPr>
        <w:t xml:space="preserve">。</w:t>
      </w:r>
      <w:r>
        <w:rPr>
          <w:rFonts w:hint="eastAsia" w:cs="仿宋_GB2312"/>
          <w:color w:val="000000"/>
        </w:rPr>
        <w:t xml:space="preserve">健全清单式投资动态管理体系，加快推进并联办理、多评合一，积极探索企业投资不再核准、备案的项目承诺制。支持符合条件的企业开展直接融资，探索知识产权质押和保险试点等融资模式。</w:t>
      </w:r>
      <w:r>
        <w:rPr>
          <w:rFonts w:cs="仿宋_GB2312"/>
          <w:color w:val="000000"/>
          <w:lang w:val="en-US"/>
        </w:rPr>
        <w:t xml:space="preserve">创新公共基础设施投融资机制，积极</w:t>
      </w:r>
      <w:r>
        <w:rPr>
          <w:rFonts w:hint="eastAsia" w:cs="仿宋_GB2312"/>
          <w:color w:val="000000"/>
          <w:lang w:val="en-US"/>
        </w:rPr>
        <w:t xml:space="preserve">探索重大基础设施领域不动产投资信托基金（REITs）等投融资</w:t>
      </w:r>
      <w:r>
        <w:rPr>
          <w:rFonts w:cs="仿宋_GB2312"/>
          <w:color w:val="000000"/>
          <w:lang w:val="en-US"/>
        </w:rPr>
        <w:t xml:space="preserve">模式</w:t>
      </w:r>
      <w:r>
        <w:rPr>
          <w:rFonts w:hint="eastAsia" w:cs="仿宋_GB2312"/>
          <w:color w:val="000000"/>
          <w:lang w:val="en-US"/>
        </w:rPr>
        <w:t xml:space="preserve">。</w:t>
      </w:r>
      <w:r>
        <w:rPr>
          <w:rFonts w:hint="eastAsia" w:cs="仿宋_GB2312"/>
          <w:color w:val="000000"/>
        </w:rPr>
        <w:t xml:space="preserve">支持扩大企业债、公司债、可转债等债券发行规模。</w:t>
      </w:r>
      <w:r>
        <w:rPr>
          <w:rFonts w:hint="eastAsia" w:hAnsi="仿宋" w:cs="仿宋"/>
          <w:color w:val="000000"/>
        </w:rPr>
        <w:t xml:space="preserve">发挥政府出资产业投资基金导向作用和放大效应，</w:t>
      </w:r>
      <w:r>
        <w:rPr>
          <w:rFonts w:hint="eastAsia" w:cs="仿宋_GB2312"/>
          <w:color w:val="000000"/>
        </w:rPr>
        <w:t xml:space="preserve">积极组建和发展产业发展基金、基础设施建设基金、混改基金、创新创业引导基金</w:t>
      </w:r>
      <w:r>
        <w:rPr>
          <w:rFonts w:hint="eastAsia" w:hAnsi="仿宋" w:cs="仿宋"/>
          <w:color w:val="000000"/>
        </w:rPr>
        <w:t xml:space="preserve">、股权投资基金</w:t>
      </w:r>
      <w:r>
        <w:rPr>
          <w:rFonts w:hint="eastAsia" w:cs="仿宋_GB2312"/>
          <w:color w:val="000000"/>
        </w:rPr>
        <w:t xml:space="preserve">，</w:t>
      </w:r>
      <w:r>
        <w:rPr>
          <w:rFonts w:hint="eastAsia" w:hAnsi="仿宋" w:cs="仿宋"/>
          <w:color w:val="000000"/>
        </w:rPr>
        <w:t xml:space="preserve">为龙头企业注入战略投资。</w:t>
      </w:r>
      <w:r>
        <w:rPr>
          <w:rFonts w:hint="eastAsia" w:cs="仿宋_GB2312"/>
          <w:color w:val="000000"/>
          <w:lang w:val="en-US"/>
        </w:rPr>
        <w:t xml:space="preserve">规范和加强政府投资管理，激发全社会投资活力，推动形成市场主导的投资内生增</w:t>
      </w:r>
      <w:r>
        <w:rPr>
          <w:rFonts w:hint="eastAsia" w:cs="仿宋_GB2312"/>
          <w:color w:val="000000"/>
        </w:rPr>
        <w:t xml:space="preserve">长机制。</w:t>
      </w:r>
      <w:r>
        <w:rPr>
          <w:rFonts w:hint="eastAsia" w:hAnsi="仿宋" w:cs="仿宋"/>
          <w:color w:val="000000"/>
        </w:rPr>
        <w:t xml:space="preserve">服务企业上市全生命周期，加强后备企业分层分阶段精准培育，实施企业上市“种子”计划，引导推动更多企业在境内外交易所、“新三板”和武汉股权托管交易中心上市、挂牌</w:t>
      </w:r>
      <w:r>
        <w:rPr>
          <w:rFonts w:hint="eastAsia" w:cs="仿宋_GB2312"/>
          <w:color w:val="000000"/>
        </w:rPr>
        <w:t xml:space="preserve">，</w:t>
      </w:r>
      <w:r>
        <w:rPr>
          <w:rFonts w:hint="eastAsia" w:ascii="Times New Roman" w:hAnsi="Times New Roman" w:cs="仿宋_GB2312"/>
          <w:color w:val="000000"/>
        </w:rPr>
        <w:t xml:space="preserve">重点培育</w:t>
      </w:r>
      <w:r>
        <w:rPr>
          <w:rFonts w:hint="eastAsia" w:ascii="Times New Roman" w:hAnsi="Times New Roman" w:cs="仿宋_GB2312"/>
          <w:color w:val="000000"/>
          <w:lang w:val="en-US"/>
        </w:rPr>
        <w:t xml:space="preserve">5—8家公司</w:t>
      </w:r>
      <w:r>
        <w:rPr>
          <w:rFonts w:hint="eastAsia" w:ascii="Times New Roman" w:hAnsi="Times New Roman" w:cs="仿宋_GB2312"/>
          <w:color w:val="000000"/>
          <w:lang w:val="en-US" w:eastAsia="zh-CN"/>
        </w:rPr>
        <w:t xml:space="preserve">实现</w:t>
      </w:r>
      <w:r>
        <w:rPr>
          <w:rFonts w:hint="eastAsia" w:ascii="Times New Roman" w:hAnsi="Times New Roman" w:cs="仿宋_GB2312"/>
          <w:color w:val="000000"/>
          <w:lang w:val="en-US"/>
        </w:rPr>
        <w:t xml:space="preserve">主板上市</w:t>
      </w:r>
      <w:r>
        <w:rPr>
          <w:rFonts w:hint="eastAsia" w:ascii="Times New Roman" w:hAnsi="Times New Roman" w:cs="仿宋_GB2312"/>
          <w:color w:val="000000"/>
        </w:rPr>
        <w:t xml:space="preserve">。</w:t>
      </w:r>
      <w:r>
        <w:rPr>
          <w:color w:val="000000"/>
        </w:rPr>
      </w:r>
      <w:r>
        <w:rPr>
          <w:color w:val="000000"/>
        </w:rPr>
      </w:r>
    </w:p>
    <w:p>
      <w:pPr>
        <w:pStyle w:val="737"/>
        <w:widowControl w:val="true"/>
        <w:pBdr/>
        <w:spacing/>
        <w:ind w:firstLine="640"/>
        <w:jc w:val="left"/>
        <w:rPr>
          <w:color w:val="000000"/>
        </w:rPr>
      </w:pPr>
      <w:r>
        <w:rPr>
          <w:color w:val="000000"/>
        </w:rPr>
        <w:br w:type="page" w:clear="all"/>
      </w:r>
      <w:r>
        <w:rPr>
          <w:color w:val="000000"/>
        </w:rPr>
      </w:r>
      <w:r>
        <w:rPr>
          <w:color w:val="000000"/>
        </w:rPr>
      </w:r>
    </w:p>
    <w:p>
      <w:pPr>
        <w:pStyle w:val="792"/>
        <w:pBdr/>
        <w:spacing/>
        <w:ind w:firstLine="480"/>
        <w:rPr>
          <w:color w:val="000000"/>
        </w:rPr>
      </w:pPr>
      <w:r>
        <w:rPr>
          <w:color w:val="000000"/>
        </w:rPr>
      </w:r>
      <w:r>
        <w:rPr>
          <w:color w:val="000000"/>
        </w:rPr>
      </w:r>
    </w:p>
    <w:p>
      <w:pPr>
        <w:pStyle w:val="738"/>
        <w:pBdr/>
        <w:spacing/>
        <w:ind/>
        <w:rPr>
          <w:rFonts w:hint="eastAsia" w:ascii="方正小标宋简体" w:eastAsia="方正小标宋简体" w:cs="方正小标宋简体"/>
          <w:b w:val="0"/>
          <w:bCs w:val="0"/>
          <w:color w:val="000000"/>
          <w:sz w:val="36"/>
          <w:szCs w:val="36"/>
        </w:rPr>
      </w:pPr>
      <w:r/>
      <w:bookmarkStart w:id="65" w:name="_Toc7028"/>
      <w:r>
        <w:rPr>
          <w:rFonts w:hint="eastAsia" w:ascii="方正小标宋简体" w:eastAsia="方正小标宋简体" w:cs="方正小标宋简体"/>
          <w:b w:val="0"/>
          <w:bCs w:val="0"/>
          <w:color w:val="000000"/>
          <w:sz w:val="36"/>
          <w:szCs w:val="36"/>
        </w:rPr>
        <w:t xml:space="preserve">第十章</w:t>
      </w:r>
      <w:r>
        <w:rPr>
          <w:rFonts w:ascii="方正小标宋简体" w:eastAsia="方正小标宋简体" w:cs="方正小标宋简体"/>
          <w:b w:val="0"/>
          <w:bCs w:val="0"/>
          <w:color w:val="000000"/>
          <w:sz w:val="36"/>
          <w:szCs w:val="36"/>
        </w:rPr>
        <w:t xml:space="preserve"> </w:t>
      </w:r>
      <w:r>
        <w:rPr>
          <w:rFonts w:hint="eastAsia" w:ascii="方正小标宋简体" w:eastAsia="方正小标宋简体" w:cs="方正小标宋简体"/>
          <w:b w:val="0"/>
          <w:bCs w:val="0"/>
          <w:color w:val="000000"/>
          <w:sz w:val="36"/>
          <w:szCs w:val="36"/>
        </w:rPr>
        <w:t xml:space="preserve">统筹新基建和传统基建发展</w:t>
      </w:r>
      <w:bookmarkEnd w:id="65"/>
      <w:r>
        <w:rPr>
          <w:rFonts w:hint="eastAsia" w:ascii="方正小标宋简体" w:eastAsia="方正小标宋简体" w:cs="方正小标宋简体"/>
          <w:b w:val="0"/>
          <w:bCs w:val="0"/>
          <w:color w:val="000000"/>
          <w:sz w:val="36"/>
          <w:szCs w:val="36"/>
        </w:rPr>
      </w:r>
      <w:r>
        <w:rPr>
          <w:rFonts w:hint="eastAsia" w:ascii="方正小标宋简体" w:eastAsia="方正小标宋简体" w:cs="方正小标宋简体"/>
          <w:b w:val="0"/>
          <w:bCs w:val="0"/>
          <w:color w:val="000000"/>
          <w:sz w:val="36"/>
          <w:szCs w:val="36"/>
        </w:rPr>
      </w:r>
    </w:p>
    <w:p>
      <w:pPr>
        <w:pStyle w:val="738"/>
        <w:pBdr/>
        <w:spacing/>
        <w:ind/>
        <w:rPr>
          <w:rFonts w:hint="eastAsia" w:ascii="方正小标宋简体" w:eastAsia="方正小标宋简体"/>
          <w:b w:val="0"/>
          <w:bCs w:val="0"/>
          <w:color w:val="000000"/>
          <w:sz w:val="36"/>
          <w:szCs w:val="36"/>
        </w:rPr>
      </w:pPr>
      <w:r/>
      <w:bookmarkStart w:id="66" w:name="_Toc29290"/>
      <w:r>
        <w:rPr>
          <w:rFonts w:hint="eastAsia" w:ascii="方正小标宋简体" w:eastAsia="方正小标宋简体" w:cs="方正小标宋简体"/>
          <w:b w:val="0"/>
          <w:bCs w:val="0"/>
          <w:color w:val="000000"/>
          <w:sz w:val="36"/>
          <w:szCs w:val="36"/>
        </w:rPr>
        <w:t xml:space="preserve">健全现代化基础设施体系</w:t>
      </w:r>
      <w:bookmarkEnd w:id="66"/>
      <w:r>
        <w:rPr>
          <w:rFonts w:hint="eastAsia" w:ascii="方正小标宋简体" w:eastAsia="方正小标宋简体"/>
          <w:b w:val="0"/>
          <w:bCs w:val="0"/>
          <w:color w:val="000000"/>
          <w:sz w:val="36"/>
          <w:szCs w:val="36"/>
        </w:rPr>
      </w:r>
      <w:r>
        <w:rPr>
          <w:rFonts w:hint="eastAsia" w:ascii="方正小标宋简体" w:eastAsia="方正小标宋简体"/>
          <w:b w:val="0"/>
          <w:bCs w:val="0"/>
          <w:color w:val="000000"/>
          <w:sz w:val="36"/>
          <w:szCs w:val="36"/>
        </w:rPr>
      </w:r>
    </w:p>
    <w:p>
      <w:pPr>
        <w:pStyle w:val="737"/>
        <w:pBdr/>
        <w:spacing/>
        <w:ind w:firstLine="640"/>
        <w:rPr>
          <w:color w:val="000000"/>
        </w:rPr>
      </w:pPr>
      <w:r>
        <w:rPr>
          <w:color w:val="000000"/>
        </w:rPr>
      </w:r>
      <w:r>
        <w:rPr>
          <w:color w:val="000000"/>
        </w:rPr>
      </w:r>
    </w:p>
    <w:p>
      <w:pPr>
        <w:pStyle w:val="737"/>
        <w:pBdr/>
        <w:spacing/>
        <w:ind w:firstLine="640"/>
        <w:rPr>
          <w:color w:val="000000"/>
        </w:rPr>
      </w:pPr>
      <w:r>
        <w:rPr>
          <w:rFonts w:hint="eastAsia" w:cs="仿宋_GB2312"/>
          <w:color w:val="000000"/>
        </w:rPr>
        <w:t xml:space="preserve">按照</w:t>
      </w:r>
      <w:r>
        <w:rPr>
          <w:color w:val="000000"/>
        </w:rPr>
        <w:t xml:space="preserve">“</w:t>
      </w:r>
      <w:r>
        <w:rPr>
          <w:rFonts w:hint="eastAsia" w:cs="仿宋_GB2312"/>
          <w:color w:val="000000"/>
        </w:rPr>
        <w:t xml:space="preserve">统筹规划、适度超前</w:t>
      </w:r>
      <w:r>
        <w:rPr>
          <w:color w:val="000000"/>
        </w:rPr>
        <w:t xml:space="preserve">”</w:t>
      </w:r>
      <w:r>
        <w:rPr>
          <w:rFonts w:hint="eastAsia" w:cs="仿宋_GB2312"/>
          <w:color w:val="000000"/>
        </w:rPr>
        <w:t xml:space="preserve">原则，实施新基建和传统基建双轮驱动，加快构建系统完备、智能绿色、安全高效的现代化基础设施体系。</w:t>
      </w:r>
      <w:r>
        <w:rPr>
          <w:color w:val="000000"/>
        </w:rPr>
      </w:r>
      <w:r>
        <w:rPr>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bookmarkStart w:id="67" w:name="_Toc374"/>
      <w:r>
        <w:rPr>
          <w:rFonts w:hint="eastAsia" w:ascii="黑体" w:hAnsi="黑体" w:eastAsia="黑体" w:cs="黑体"/>
          <w:b w:val="0"/>
          <w:bCs w:val="0"/>
          <w:color w:val="000000"/>
        </w:rPr>
        <w:t xml:space="preserve">一、建设区域性综合交通枢纽</w:t>
      </w:r>
      <w:bookmarkEnd w:id="67"/>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color w:val="000000"/>
        </w:rPr>
      </w:pPr>
      <w:r>
        <w:rPr>
          <w:rFonts w:hint="eastAsia" w:cs="仿宋_GB2312"/>
          <w:color w:val="000000"/>
        </w:rPr>
        <w:t xml:space="preserve">以</w:t>
      </w:r>
      <w:r>
        <w:rPr>
          <w:color w:val="000000"/>
        </w:rPr>
        <w:t xml:space="preserve">“</w:t>
      </w:r>
      <w:r>
        <w:rPr>
          <w:rFonts w:hint="eastAsia" w:cs="仿宋_GB2312"/>
          <w:color w:val="000000"/>
        </w:rPr>
        <w:t xml:space="preserve">畅通城市出口、通达大中城市、串联重点景区、服务新区发展、支撑实体经济、助力乡村振兴</w:t>
      </w:r>
      <w:r>
        <w:rPr>
          <w:color w:val="000000"/>
        </w:rPr>
        <w:t xml:space="preserve">”</w:t>
      </w:r>
      <w:r>
        <w:rPr>
          <w:rFonts w:hint="eastAsia" w:cs="仿宋_GB2312"/>
          <w:color w:val="000000"/>
        </w:rPr>
        <w:t xml:space="preserve">为重点，构建以铁路和高速公路为主骨架，国省道及重要县乡道一、二级公路为干线，高密度农村公路为基础，重要客货运枢纽为节点，航空为补充</w:t>
      </w:r>
      <w:r>
        <w:rPr>
          <w:rFonts w:hint="eastAsia" w:cs="仿宋_GB2312"/>
          <w:color w:val="000000"/>
          <w:lang w:eastAsia="zh-CN"/>
        </w:rPr>
        <w:t xml:space="preserve">的</w:t>
      </w:r>
      <w:r>
        <w:rPr>
          <w:rFonts w:hint="eastAsia" w:cs="仿宋_GB2312"/>
          <w:color w:val="000000"/>
        </w:rPr>
        <w:t xml:space="preserve">外联内畅、高效便捷现代化综合交通运输网络，建成鄂北区域性综合立体交通枢纽。</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形成对外运输大通道</w:t>
      </w:r>
      <w:r>
        <w:rPr>
          <w:rFonts w:hint="eastAsia" w:cs="仿宋_GB2312"/>
          <w:b/>
          <w:bCs/>
          <w:color w:val="000000"/>
        </w:rPr>
        <w:t xml:space="preserve">。</w:t>
      </w:r>
      <w:r>
        <w:rPr>
          <w:rFonts w:hint="eastAsia" w:cs="仿宋_GB2312"/>
          <w:color w:val="000000"/>
        </w:rPr>
        <w:t xml:space="preserve">加快推进宁西铁路小厉线增建二线、随县石材铁路专用线、随州电厂铁路专用线、</w:t>
      </w:r>
      <w:r>
        <w:rPr>
          <w:rFonts w:hint="eastAsia" w:cs="仿宋_GB2312"/>
          <w:color w:val="000000"/>
          <w:lang w:val="en-US"/>
        </w:rPr>
        <w:t xml:space="preserve">随州至信阳高速公路</w:t>
      </w:r>
      <w:r>
        <w:rPr>
          <w:rFonts w:hint="eastAsia" w:cs="仿宋_GB2312"/>
          <w:color w:val="000000"/>
        </w:rPr>
        <w:t xml:space="preserve">建设，开展安康</w:t>
      </w:r>
      <w:r>
        <w:rPr>
          <w:rFonts w:hint="eastAsia" w:cs="仿宋_GB2312"/>
          <w:color w:val="000000"/>
          <w:lang w:eastAsia="zh-CN"/>
        </w:rPr>
        <w:t xml:space="preserve">（</w:t>
      </w:r>
      <w:r>
        <w:rPr>
          <w:rFonts w:hint="eastAsia" w:cs="仿宋_GB2312"/>
          <w:color w:val="000000"/>
        </w:rPr>
        <w:t xml:space="preserve">经十堰、襄阳、随州</w:t>
      </w:r>
      <w:r>
        <w:rPr>
          <w:rFonts w:hint="eastAsia" w:cs="仿宋_GB2312"/>
          <w:color w:val="000000"/>
          <w:lang w:eastAsia="zh-CN"/>
        </w:rPr>
        <w:t xml:space="preserve">、信阳）</w:t>
      </w:r>
      <w:r>
        <w:rPr>
          <w:rFonts w:hint="eastAsia" w:cs="仿宋_GB2312"/>
          <w:color w:val="000000"/>
        </w:rPr>
        <w:t xml:space="preserve">至合肥高速铁路</w:t>
      </w:r>
      <w:r>
        <w:rPr>
          <w:rFonts w:hint="eastAsia" w:cs="仿宋_GB2312"/>
          <w:color w:val="000000"/>
          <w:lang w:eastAsia="zh-CN"/>
        </w:rPr>
        <w:t xml:space="preserve">、宜昌（经荆门、随州、信阳）至徐州快速铁路</w:t>
      </w:r>
      <w:r>
        <w:rPr>
          <w:rFonts w:hint="eastAsia" w:cs="仿宋_GB2312"/>
          <w:color w:val="000000"/>
        </w:rPr>
        <w:t xml:space="preserve">及</w:t>
      </w:r>
      <w:r>
        <w:rPr>
          <w:rFonts w:hint="eastAsia" w:cs="仿宋_GB2312"/>
          <w:color w:val="000000"/>
          <w:lang w:val="en-US"/>
        </w:rPr>
        <w:t xml:space="preserve">沿大别山鄂北红色旅游高速公路（随州段）建设</w:t>
      </w:r>
      <w:r>
        <w:rPr>
          <w:rFonts w:ascii="Times New Roman" w:hAnsi="Times New Roman"/>
          <w:color w:val="000000"/>
          <w:lang w:val="en-US"/>
        </w:rPr>
        <w:t xml:space="preserve">前期工作，争取纳入国家和省级规划，</w:t>
      </w:r>
      <w:r>
        <w:rPr>
          <w:rFonts w:hint="eastAsia" w:cs="仿宋_GB2312"/>
          <w:color w:val="000000"/>
        </w:rPr>
        <w:t xml:space="preserve">构建随州市东</w:t>
      </w:r>
      <w:r>
        <w:rPr>
          <w:rFonts w:hint="eastAsia" w:cs="仿宋_GB2312"/>
          <w:color w:val="000000"/>
          <w:lang w:eastAsia="zh-CN"/>
        </w:rPr>
        <w:t xml:space="preserve">达</w:t>
      </w:r>
      <w:r>
        <w:rPr>
          <w:rFonts w:hint="eastAsia" w:cs="仿宋_GB2312"/>
          <w:color w:val="000000"/>
        </w:rPr>
        <w:t xml:space="preserve">“</w:t>
      </w:r>
      <w:r>
        <w:rPr>
          <w:rFonts w:hint="eastAsia" w:cs="仿宋_GB2312"/>
          <w:color w:val="000000"/>
          <w:lang w:eastAsia="zh-CN"/>
        </w:rPr>
        <w:t xml:space="preserve">长三角</w:t>
      </w:r>
      <w:r>
        <w:rPr>
          <w:rFonts w:hint="eastAsia" w:cs="仿宋_GB2312"/>
          <w:color w:val="000000"/>
        </w:rPr>
        <w:t xml:space="preserve">”、西融</w:t>
      </w:r>
      <w:r>
        <w:rPr>
          <w:color w:val="000000"/>
        </w:rPr>
        <w:t xml:space="preserve">“</w:t>
      </w:r>
      <w:r>
        <w:rPr>
          <w:rFonts w:hint="eastAsia" w:cs="仿宋_GB2312"/>
          <w:color w:val="000000"/>
        </w:rPr>
        <w:t xml:space="preserve">襄十随神</w:t>
      </w:r>
      <w:r>
        <w:rPr>
          <w:color w:val="000000"/>
        </w:rPr>
        <w:t xml:space="preserve">”</w:t>
      </w:r>
      <w:r>
        <w:rPr>
          <w:rFonts w:hint="eastAsia" w:cs="仿宋_GB2312"/>
          <w:color w:val="000000"/>
        </w:rPr>
        <w:t xml:space="preserve">城市群、南</w:t>
      </w:r>
      <w:r>
        <w:rPr>
          <w:rFonts w:hint="eastAsia" w:cs="仿宋_GB2312"/>
          <w:color w:val="000000"/>
          <w:lang w:eastAsia="zh-CN"/>
        </w:rPr>
        <w:t xml:space="preserve">联</w:t>
      </w:r>
      <w:r>
        <w:rPr>
          <w:color w:val="000000"/>
        </w:rPr>
        <w:t xml:space="preserve">“</w:t>
      </w:r>
      <w:r>
        <w:rPr>
          <w:rFonts w:hint="eastAsia" w:cs="仿宋_GB2312"/>
          <w:color w:val="000000"/>
        </w:rPr>
        <w:t xml:space="preserve">宜荆荆恩</w:t>
      </w:r>
      <w:r>
        <w:rPr>
          <w:color w:val="000000"/>
        </w:rPr>
        <w:t xml:space="preserve">”</w:t>
      </w:r>
      <w:r>
        <w:rPr>
          <w:rFonts w:hint="eastAsia" w:cs="仿宋_GB2312"/>
          <w:color w:val="000000"/>
        </w:rPr>
        <w:t xml:space="preserve">城市群、北至中原城市群的综合交通网络。</w:t>
      </w:r>
      <w:r>
        <w:rPr>
          <w:color w:val="000000"/>
        </w:rPr>
      </w:r>
      <w:r>
        <w:rPr>
          <w:color w:val="000000"/>
        </w:rPr>
      </w:r>
    </w:p>
    <w:p>
      <w:pPr>
        <w:pStyle w:val="737"/>
        <w:pBdr/>
        <w:spacing/>
        <w:ind w:firstLine="643"/>
        <w:rPr>
          <w:color w:val="000000"/>
          <w:sz w:val="28"/>
          <w:szCs w:val="28"/>
        </w:rPr>
      </w:pPr>
      <w:r>
        <w:rPr>
          <w:rFonts w:hint="eastAsia" w:ascii="楷体_GB2312" w:hAnsi="楷体_GB2312" w:eastAsia="楷体_GB2312" w:cs="楷体_GB2312"/>
          <w:b/>
          <w:bCs/>
          <w:color w:val="000000"/>
        </w:rPr>
        <w:t xml:space="preserve">构建对内交通大格局</w:t>
      </w:r>
      <w:r>
        <w:rPr>
          <w:rFonts w:hint="eastAsia" w:cs="仿宋_GB2312"/>
          <w:b/>
          <w:bCs/>
          <w:color w:val="000000"/>
        </w:rPr>
        <w:t xml:space="preserve">。</w:t>
      </w:r>
      <w:r>
        <w:rPr>
          <w:rFonts w:hint="eastAsia" w:cs="仿宋_GB2312"/>
          <w:color w:val="000000"/>
        </w:rPr>
        <w:t xml:space="preserve">逐步提升干线公路通道通畅水平，提高国省道和高等级干线公路等级，串联重要乡镇、枢纽及景区，形成随州市区</w:t>
      </w:r>
      <w:r>
        <w:rPr>
          <w:color w:val="000000"/>
        </w:rPr>
        <w:t xml:space="preserve">“30</w:t>
      </w:r>
      <w:r>
        <w:rPr>
          <w:rFonts w:hint="eastAsia" w:cs="仿宋_GB2312"/>
          <w:color w:val="000000"/>
        </w:rPr>
        <w:t xml:space="preserve">分钟通勤圈</w:t>
      </w:r>
      <w:r>
        <w:rPr>
          <w:color w:val="000000"/>
        </w:rPr>
        <w:t xml:space="preserve">”</w:t>
      </w:r>
      <w:r>
        <w:rPr>
          <w:rFonts w:hint="eastAsia" w:cs="仿宋_GB2312"/>
          <w:color w:val="000000"/>
        </w:rPr>
        <w:t xml:space="preserve">，随州各县市区之间</w:t>
      </w:r>
      <w:r>
        <w:rPr>
          <w:color w:val="000000"/>
        </w:rPr>
        <w:t xml:space="preserve">“1</w:t>
      </w:r>
      <w:r>
        <w:rPr>
          <w:rFonts w:hint="eastAsia" w:cs="仿宋_GB2312"/>
          <w:color w:val="000000"/>
        </w:rPr>
        <w:t xml:space="preserve">小时市域交通圈</w:t>
      </w:r>
      <w:r>
        <w:rPr>
          <w:color w:val="000000"/>
        </w:rPr>
        <w:t xml:space="preserve">”</w:t>
      </w:r>
      <w:r>
        <w:rPr>
          <w:rFonts w:hint="eastAsia" w:cs="仿宋_GB2312"/>
          <w:color w:val="000000"/>
        </w:rPr>
        <w:t xml:space="preserve">，客运站、物流园区至干线公路的</w:t>
      </w:r>
      <w:r>
        <w:rPr>
          <w:color w:val="000000"/>
        </w:rPr>
        <w:t xml:space="preserve">10</w:t>
      </w:r>
      <w:r>
        <w:rPr>
          <w:rFonts w:hint="eastAsia" w:cs="仿宋_GB2312"/>
          <w:color w:val="000000"/>
        </w:rPr>
        <w:t xml:space="preserve">分钟快速衔接通道，建立随州市内</w:t>
      </w:r>
      <w:r>
        <w:rPr>
          <w:color w:val="000000"/>
        </w:rPr>
        <w:t xml:space="preserve">“</w:t>
      </w:r>
      <w:r>
        <w:rPr>
          <w:rFonts w:hint="eastAsia" w:cs="仿宋_GB2312"/>
          <w:color w:val="000000"/>
        </w:rPr>
        <w:t xml:space="preserve">经济交通圈</w:t>
      </w:r>
      <w:r>
        <w:rPr>
          <w:color w:val="000000"/>
        </w:rPr>
        <w:t xml:space="preserve">”</w:t>
      </w:r>
      <w:r>
        <w:rPr>
          <w:rFonts w:hint="eastAsia" w:cs="仿宋_GB2312"/>
          <w:color w:val="000000"/>
        </w:rPr>
        <w:t xml:space="preserve">。继续推进</w:t>
      </w:r>
      <w:r>
        <w:rPr>
          <w:color w:val="000000"/>
        </w:rPr>
        <w:t xml:space="preserve">G316</w:t>
      </w:r>
      <w:r>
        <w:rPr>
          <w:rFonts w:hint="eastAsia" w:cs="仿宋_GB2312"/>
          <w:color w:val="000000"/>
        </w:rPr>
        <w:t xml:space="preserve">随县尚市至随阳店段、</w:t>
      </w:r>
      <w:r>
        <w:rPr>
          <w:color w:val="000000"/>
        </w:rPr>
        <w:t xml:space="preserve">G316</w:t>
      </w:r>
      <w:r>
        <w:rPr>
          <w:rFonts w:hint="eastAsia" w:cs="仿宋_GB2312"/>
          <w:color w:val="000000"/>
        </w:rPr>
        <w:t xml:space="preserve">十岗至广水界段改扩建工程、</w:t>
      </w:r>
      <w:r>
        <w:rPr>
          <w:color w:val="000000"/>
        </w:rPr>
        <w:t xml:space="preserve">G240</w:t>
      </w:r>
      <w:r>
        <w:rPr>
          <w:rFonts w:hint="eastAsia" w:cs="仿宋_GB2312"/>
          <w:color w:val="000000"/>
        </w:rPr>
        <w:t xml:space="preserve">国道随州市石桥到钟氏祠段、</w:t>
      </w:r>
      <w:r>
        <w:rPr>
          <w:color w:val="000000"/>
        </w:rPr>
        <w:t xml:space="preserve">G346</w:t>
      </w:r>
      <w:r>
        <w:rPr>
          <w:rFonts w:hint="eastAsia" w:cs="仿宋_GB2312"/>
          <w:color w:val="000000"/>
        </w:rPr>
        <w:t xml:space="preserve">国道随州市十岗至任家台段、</w:t>
      </w:r>
      <w:r>
        <w:rPr>
          <w:color w:val="000000"/>
        </w:rPr>
        <w:t xml:space="preserve">G346</w:t>
      </w:r>
      <w:r>
        <w:rPr>
          <w:rFonts w:hint="eastAsia" w:cs="仿宋_GB2312"/>
          <w:color w:val="000000"/>
        </w:rPr>
        <w:t xml:space="preserve">广水市城郊至长岭段、</w:t>
      </w:r>
      <w:r>
        <w:rPr>
          <w:color w:val="000000"/>
        </w:rPr>
        <w:t xml:space="preserve">G316</w:t>
      </w:r>
      <w:r>
        <w:rPr>
          <w:rFonts w:hint="eastAsia" w:cs="仿宋_GB2312"/>
          <w:color w:val="000000"/>
        </w:rPr>
        <w:t xml:space="preserve">广水市境段一级化改造，加快推进</w:t>
      </w:r>
      <w:r>
        <w:rPr>
          <w:color w:val="000000"/>
        </w:rPr>
        <w:t xml:space="preserve">G346</w:t>
      </w:r>
      <w:r>
        <w:rPr>
          <w:rFonts w:hint="eastAsia" w:cs="仿宋_GB2312"/>
          <w:color w:val="000000"/>
        </w:rPr>
        <w:t xml:space="preserve">任家台至肖家店段改扩建工程、</w:t>
      </w:r>
      <w:r>
        <w:rPr>
          <w:color w:val="000000"/>
        </w:rPr>
        <w:t xml:space="preserve">G346</w:t>
      </w:r>
      <w:r>
        <w:rPr>
          <w:rFonts w:hint="eastAsia" w:cs="仿宋_GB2312"/>
          <w:color w:val="000000"/>
        </w:rPr>
        <w:t xml:space="preserve">安居镇肖家店至车岗段改建工程、</w:t>
      </w:r>
      <w:r>
        <w:rPr>
          <w:color w:val="000000"/>
        </w:rPr>
        <w:t xml:space="preserve">G240</w:t>
      </w:r>
      <w:r>
        <w:rPr>
          <w:rFonts w:hint="eastAsia" w:cs="仿宋_GB2312"/>
          <w:color w:val="000000"/>
        </w:rPr>
        <w:t xml:space="preserve">槐东至石桥段改扩建工程，建设随县旅游环线公路，打造</w:t>
      </w:r>
      <w:r>
        <w:rPr>
          <w:color w:val="000000"/>
        </w:rPr>
        <w:t xml:space="preserve">“</w:t>
      </w:r>
      <w:r>
        <w:rPr>
          <w:rFonts w:hint="eastAsia" w:cs="仿宋_GB2312"/>
          <w:color w:val="000000"/>
        </w:rPr>
        <w:t xml:space="preserve">美丽公路经济带</w:t>
      </w:r>
      <w:r>
        <w:rPr>
          <w:color w:val="000000"/>
        </w:rPr>
        <w:t xml:space="preserve">”</w:t>
      </w:r>
      <w:r>
        <w:rPr>
          <w:rFonts w:hint="eastAsia" w:cs="仿宋_GB2312"/>
          <w:color w:val="000000"/>
        </w:rPr>
        <w:t xml:space="preserve">。实施改善城区交通环境四年行动计划，畅通城市微循环线路，打造城市快速交通体系。推动县乡公路提档升级，重点实施县乡道改造工程，加快建设</w:t>
      </w:r>
      <w:r>
        <w:rPr>
          <w:color w:val="000000"/>
        </w:rPr>
        <w:t xml:space="preserve">“</w:t>
      </w:r>
      <w:r>
        <w:rPr>
          <w:rFonts w:hint="eastAsia" w:cs="仿宋_GB2312"/>
          <w:color w:val="000000"/>
        </w:rPr>
        <w:t xml:space="preserve">四好农村路</w:t>
      </w:r>
      <w:r>
        <w:rPr>
          <w:color w:val="000000"/>
        </w:rPr>
        <w:t xml:space="preserve">”</w:t>
      </w:r>
      <w:r>
        <w:rPr>
          <w:rFonts w:hint="eastAsia" w:cs="仿宋_GB2312"/>
          <w:color w:val="000000"/>
        </w:rPr>
        <w:t xml:space="preserve">。</w:t>
      </w:r>
      <w:r>
        <w:rPr>
          <w:color w:val="000000"/>
          <w:sz w:val="28"/>
          <w:szCs w:val="28"/>
        </w:rPr>
      </w:r>
      <w:r>
        <w:rPr>
          <w:color w:val="000000"/>
          <w:sz w:val="28"/>
          <w:szCs w:val="28"/>
        </w:rPr>
      </w:r>
    </w:p>
    <w:p>
      <w:pPr>
        <w:pStyle w:val="737"/>
        <w:pBdr/>
        <w:spacing/>
        <w:ind w:firstLine="643"/>
        <w:rPr>
          <w:color w:val="000000"/>
        </w:rPr>
      </w:pPr>
      <w:r>
        <w:rPr>
          <w:rFonts w:hint="eastAsia" w:ascii="楷体_GB2312" w:hAnsi="楷体_GB2312" w:eastAsia="楷体_GB2312" w:cs="楷体_GB2312"/>
          <w:b/>
          <w:bCs/>
          <w:color w:val="000000"/>
        </w:rPr>
        <w:t xml:space="preserve">打造无缝连接快捷交通</w:t>
      </w:r>
      <w:r>
        <w:rPr>
          <w:rFonts w:hint="eastAsia" w:cs="仿宋_GB2312"/>
          <w:b/>
          <w:bCs/>
          <w:color w:val="000000"/>
        </w:rPr>
        <w:t xml:space="preserve">。</w:t>
      </w:r>
      <w:r>
        <w:rPr>
          <w:rFonts w:hint="eastAsia" w:cs="仿宋_GB2312"/>
          <w:color w:val="000000"/>
        </w:rPr>
        <w:t xml:space="preserve">依托汉十高铁随州南站、随县站和京广铁路广水站，建设随州南站综合客运站、随县客运站、广水客运站，实现铁路、公路与城市公交无缝对接</w:t>
      </w:r>
      <w:r>
        <w:rPr>
          <w:rFonts w:hint="eastAsia" w:cs="仿宋_GB2312"/>
          <w:color w:val="000000"/>
          <w:lang w:eastAsia="zh-CN"/>
        </w:rPr>
        <w:t xml:space="preserve">。在</w:t>
      </w:r>
      <w:r>
        <w:rPr>
          <w:rFonts w:hint="eastAsia" w:cs="仿宋_GB2312"/>
          <w:color w:val="000000"/>
        </w:rPr>
        <w:t xml:space="preserve">重</w:t>
      </w:r>
      <w:r>
        <w:rPr>
          <w:rFonts w:hint="eastAsia" w:cs="仿宋_GB2312"/>
          <w:color w:val="000000"/>
          <w:lang w:eastAsia="zh-CN"/>
        </w:rPr>
        <w:t xml:space="preserve">点</w:t>
      </w:r>
      <w:r>
        <w:rPr>
          <w:rFonts w:hint="eastAsia" w:cs="仿宋_GB2312"/>
          <w:color w:val="000000"/>
        </w:rPr>
        <w:t xml:space="preserve">镇</w:t>
      </w:r>
      <w:r>
        <w:rPr>
          <w:rFonts w:hint="eastAsia" w:cs="仿宋_GB2312"/>
          <w:color w:val="000000"/>
          <w:lang w:eastAsia="zh-CN"/>
        </w:rPr>
        <w:t xml:space="preserve">（</w:t>
      </w:r>
      <w:r>
        <w:rPr>
          <w:rFonts w:hint="eastAsia" w:cs="仿宋_GB2312"/>
          <w:color w:val="000000"/>
        </w:rPr>
        <w:t xml:space="preserve">街道</w:t>
      </w:r>
      <w:r>
        <w:rPr>
          <w:rFonts w:hint="eastAsia" w:cs="仿宋_GB2312"/>
          <w:color w:val="000000"/>
          <w:lang w:eastAsia="zh-CN"/>
        </w:rPr>
        <w:t xml:space="preserve">）</w:t>
      </w:r>
      <w:r>
        <w:rPr>
          <w:rFonts w:hint="eastAsia" w:cs="仿宋_GB2312"/>
          <w:color w:val="000000"/>
        </w:rPr>
        <w:t xml:space="preserve">新建一批等级客运站。建设随县厉山通用机场，谋划推进广水市军民两用机场和湖北（随县）蔚蓝龙脉支线机场建设。</w:t>
      </w:r>
      <w:r>
        <w:rPr>
          <w:color w:val="000000"/>
        </w:rPr>
      </w:r>
      <w:r>
        <w:rPr>
          <w:color w:val="000000"/>
        </w:rPr>
      </w:r>
    </w:p>
    <w:p>
      <w:pPr>
        <w:pStyle w:val="819"/>
        <w:pBdr/>
        <w:spacing/>
        <w:ind/>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bookmarkStart w:id="68" w:name="_Toc25276"/>
      <w:r>
        <w:rPr>
          <w:rFonts w:hint="eastAsia" w:ascii="黑体" w:hAnsi="黑体" w:eastAsia="黑体" w:cs="黑体"/>
          <w:b w:val="0"/>
          <w:bCs w:val="0"/>
          <w:color w:val="000000"/>
        </w:rPr>
        <w:t xml:space="preserve">二、提高能源安全保障</w:t>
      </w:r>
      <w:bookmarkEnd w:id="68"/>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rFonts w:hint="eastAsia" w:cs="仿宋_GB2312"/>
          <w:color w:val="000000"/>
        </w:rPr>
      </w:pPr>
      <w:r>
        <w:rPr>
          <w:rFonts w:hint="eastAsia" w:cs="仿宋_GB2312"/>
          <w:color w:val="000000"/>
        </w:rPr>
        <w:t xml:space="preserve">贯彻“四个革命、一个合作”能源安全新战略，围绕多源、强网、增储、绿色、安全，全面构建清洁低碳、安全高效能源体系。</w:t>
      </w:r>
      <w:r>
        <w:rPr>
          <w:rFonts w:hint="eastAsia" w:cs="仿宋_GB2312"/>
          <w:color w:val="000000"/>
        </w:rPr>
      </w:r>
      <w:r>
        <w:rPr>
          <w:rFonts w:hint="eastAsia" w:cs="仿宋_GB2312"/>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增强电力保障水平</w:t>
      </w:r>
      <w:r>
        <w:rPr>
          <w:rFonts w:hint="eastAsia" w:cs="仿宋_GB2312"/>
          <w:b/>
          <w:bCs/>
          <w:color w:val="000000"/>
        </w:rPr>
        <w:t xml:space="preserve">。</w:t>
      </w:r>
      <w:r>
        <w:rPr>
          <w:rFonts w:hint="eastAsia" w:cs="仿宋_GB2312"/>
          <w:color w:val="000000"/>
        </w:rPr>
        <w:t xml:space="preserve">强化电源点建设，加快国家能源集团随州电厂项目建设，加大电厂二期工程前期工作力度，谋划推进一批风能、太阳能、生物质能等新能源项目，</w:t>
      </w:r>
      <w:r>
        <w:rPr>
          <w:color w:val="000000"/>
        </w:rPr>
        <w:t xml:space="preserve">“</w:t>
      </w:r>
      <w:r>
        <w:rPr>
          <w:rFonts w:hint="eastAsia" w:cs="仿宋_GB2312"/>
          <w:color w:val="000000"/>
        </w:rPr>
        <w:t xml:space="preserve">十四五</w:t>
      </w:r>
      <w:r>
        <w:rPr>
          <w:color w:val="000000"/>
        </w:rPr>
        <w:t xml:space="preserve">”</w:t>
      </w:r>
      <w:r>
        <w:rPr>
          <w:rFonts w:hint="eastAsia" w:cs="仿宋_GB2312"/>
          <w:color w:val="000000"/>
        </w:rPr>
        <w:t xml:space="preserve">期间，全市新增新能源装机</w:t>
      </w:r>
      <w:r>
        <w:rPr>
          <w:rFonts w:hint="eastAsia"/>
          <w:color w:val="000000"/>
          <w:lang w:val="en-US"/>
        </w:rPr>
        <w:t xml:space="preserve">4</w:t>
      </w:r>
      <w:r>
        <w:rPr>
          <w:color w:val="000000"/>
        </w:rPr>
        <w:t xml:space="preserve">00</w:t>
      </w:r>
      <w:r>
        <w:rPr>
          <w:rFonts w:hint="eastAsia" w:cs="仿宋_GB2312"/>
          <w:color w:val="000000"/>
        </w:rPr>
        <w:t xml:space="preserve">万千瓦左右，装机总规模达到</w:t>
      </w:r>
      <w:r>
        <w:rPr>
          <w:rFonts w:hint="eastAsia"/>
          <w:color w:val="000000"/>
          <w:lang w:val="en-US"/>
        </w:rPr>
        <w:t xml:space="preserve">80</w:t>
      </w:r>
      <w:r>
        <w:rPr>
          <w:color w:val="000000"/>
        </w:rPr>
        <w:t xml:space="preserve">0</w:t>
      </w:r>
      <w:r>
        <w:rPr>
          <w:rFonts w:hint="eastAsia" w:cs="仿宋_GB2312"/>
          <w:color w:val="000000"/>
        </w:rPr>
        <w:t xml:space="preserve">万千瓦左右，新能源总装机规模继续保持在全省领先地位。优化完善配电网架结构，提升配电网互联互供能力，加快布局以</w:t>
      </w:r>
      <w:r>
        <w:rPr>
          <w:color w:val="000000"/>
        </w:rPr>
        <w:t xml:space="preserve">500</w:t>
      </w:r>
      <w:r>
        <w:rPr>
          <w:rFonts w:hint="eastAsia"/>
          <w:color w:val="000000"/>
        </w:rPr>
        <w:t xml:space="preserve">千伏</w:t>
      </w:r>
      <w:r>
        <w:rPr>
          <w:rFonts w:hint="eastAsia" w:cs="仿宋_GB2312"/>
          <w:color w:val="000000"/>
        </w:rPr>
        <w:t xml:space="preserve">为骨干、</w:t>
      </w:r>
      <w:r>
        <w:rPr>
          <w:color w:val="000000"/>
        </w:rPr>
        <w:t xml:space="preserve">220</w:t>
      </w:r>
      <w:r>
        <w:rPr>
          <w:rFonts w:hint="eastAsia"/>
          <w:color w:val="000000"/>
        </w:rPr>
        <w:t xml:space="preserve">千伏为支撑</w:t>
      </w:r>
      <w:r>
        <w:rPr>
          <w:rFonts w:hint="eastAsia" w:cs="仿宋_GB2312"/>
          <w:color w:val="000000"/>
        </w:rPr>
        <w:t xml:space="preserve">、110</w:t>
      </w:r>
      <w:r>
        <w:rPr>
          <w:rFonts w:cs="仿宋_GB2312"/>
          <w:color w:val="000000"/>
        </w:rPr>
        <w:t xml:space="preserve">千伏为基础的</w:t>
      </w:r>
      <w:r>
        <w:rPr>
          <w:rFonts w:hint="eastAsia" w:cs="仿宋_GB2312"/>
          <w:color w:val="000000"/>
        </w:rPr>
        <w:t xml:space="preserve">智能电网，重点推进随州编钟</w:t>
      </w:r>
      <w:r>
        <w:rPr>
          <w:color w:val="000000"/>
        </w:rPr>
        <w:t xml:space="preserve">500</w:t>
      </w:r>
      <w:r>
        <w:rPr>
          <w:rFonts w:hint="eastAsia" w:cs="仿宋_GB2312"/>
          <w:color w:val="000000"/>
        </w:rPr>
        <w:t xml:space="preserve">千伏变电站扩建工程、编钟至孝感</w:t>
      </w:r>
      <w:r>
        <w:rPr>
          <w:color w:val="000000"/>
        </w:rPr>
        <w:t xml:space="preserve">500</w:t>
      </w:r>
      <w:r>
        <w:rPr>
          <w:rFonts w:hint="eastAsia" w:cs="仿宋_GB2312"/>
          <w:color w:val="000000"/>
        </w:rPr>
        <w:t xml:space="preserve">千伏线路工程及随州电厂送出线路工程建设。全面提升农村电网供电能力和质量，提高供电可</w:t>
      </w:r>
      <w:r>
        <w:rPr>
          <w:rFonts w:hint="eastAsia" w:cs="仿宋_GB2312"/>
          <w:color w:val="000000"/>
          <w:lang w:val="en-US"/>
        </w:rPr>
        <w:t xml:space="preserve">靠</w:t>
      </w:r>
      <w:r>
        <w:rPr>
          <w:rFonts w:hint="eastAsia" w:cs="仿宋_GB2312"/>
          <w:color w:val="000000"/>
        </w:rPr>
        <w:t xml:space="preserve">性和电压合格率。</w:t>
      </w:r>
      <w:r>
        <w:rPr>
          <w:rFonts w:hint="eastAsia" w:cs="仿宋_GB2312"/>
          <w:color w:val="000000"/>
        </w:rPr>
      </w:r>
      <w:r>
        <w:rPr>
          <w:rFonts w:hint="eastAsia" w:cs="仿宋_GB2312"/>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促进天然气利用</w:t>
      </w:r>
      <w:r>
        <w:rPr>
          <w:rFonts w:hint="eastAsia" w:cs="仿宋_GB2312"/>
          <w:b/>
          <w:bCs/>
          <w:color w:val="000000"/>
        </w:rPr>
        <w:t xml:space="preserve">。</w:t>
      </w:r>
      <w:r>
        <w:rPr>
          <w:rFonts w:hint="eastAsia" w:cs="仿宋_GB2312"/>
          <w:color w:val="000000"/>
        </w:rPr>
        <w:t xml:space="preserve">支持西气东输三线（随州段）项目建设，争取在我市境内设立站场，带动随南气化乡镇项目建设，提升城乡居民生活品质。支持农村地区开展分布式微管网的市场开发和经营活动，按规定参与农村管道燃气经营。推进广水市天然气清洁能源综合利用及杨寨</w:t>
      </w:r>
      <w:r>
        <w:rPr>
          <w:color w:val="000000"/>
        </w:rPr>
        <w:t xml:space="preserve">LNG</w:t>
      </w:r>
      <w:r>
        <w:rPr>
          <w:rFonts w:hint="eastAsia" w:cs="仿宋_GB2312"/>
          <w:color w:val="000000"/>
        </w:rPr>
        <w:t xml:space="preserve">站项目建设，提升天然气供应保障水平。</w:t>
      </w:r>
      <w:r>
        <w:rPr>
          <w:color w:val="000000"/>
        </w:rPr>
      </w:r>
      <w:r>
        <w:rPr>
          <w:color w:val="000000"/>
        </w:rPr>
      </w:r>
    </w:p>
    <w:tbl>
      <w:tblPr>
        <w:tblW w:w="0" w:type="auto"/>
        <w:tblInd w:w="-1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4A0" w:firstRow="1" w:lastRow="0" w:firstColumn="1" w:lastColumn="0" w:noHBand="0" w:noVBand="1"/>
      </w:tblPr>
      <w:tblGrid>
        <w:gridCol w:w="8834"/>
      </w:tblGrid>
      <w:tr>
        <w:trPr/>
        <w:tc>
          <w:tcPr>
            <w:tcBorders/>
            <w:tcW w:w="8834" w:type="dxa"/>
            <w:vAlign w:val="top"/>
            <w:textDirection w:val="lrTb"/>
            <w:noWrap w:val="false"/>
          </w:tcPr>
          <w:p>
            <w:pPr>
              <w:pStyle w:val="797"/>
              <w:pBdr/>
              <w:spacing/>
              <w:ind w:firstLine="0"/>
              <w:jc w:val="center"/>
              <w:rPr>
                <w:b/>
                <w:bCs/>
                <w:color w:val="000000"/>
              </w:rPr>
            </w:pPr>
            <w:r>
              <w:rPr>
                <w:rFonts w:hint="eastAsia" w:cs="宋体"/>
                <w:b/>
                <w:bCs/>
                <w:color w:val="000000"/>
                <w:sz w:val="28"/>
                <w:szCs w:val="28"/>
              </w:rPr>
              <w:t xml:space="preserve">专栏七：能源安全保障重点项目</w:t>
            </w:r>
            <w:r>
              <w:rPr>
                <w:b/>
                <w:bCs/>
                <w:color w:val="000000"/>
              </w:rPr>
            </w:r>
            <w:r>
              <w:rPr>
                <w:b/>
                <w:bCs/>
                <w:color w:val="000000"/>
              </w:rPr>
            </w:r>
          </w:p>
        </w:tc>
      </w:tr>
      <w:tr>
        <w:trPr/>
        <w:tc>
          <w:tcPr>
            <w:tcBorders/>
            <w:tcW w:w="8834" w:type="dxa"/>
            <w:vAlign w:val="top"/>
            <w:textDirection w:val="lrTb"/>
            <w:noWrap w:val="false"/>
          </w:tcPr>
          <w:p>
            <w:pPr>
              <w:pStyle w:val="797"/>
              <w:pBdr/>
              <w:spacing/>
              <w:ind w:firstLine="482"/>
              <w:rPr>
                <w:rFonts w:hint="eastAsia"/>
                <w:color w:val="000000"/>
                <w:sz w:val="24"/>
                <w:szCs w:val="24"/>
                <w:lang w:val="en-US"/>
              </w:rPr>
            </w:pPr>
            <w:r>
              <w:rPr>
                <w:rFonts w:hint="eastAsia"/>
                <w:b/>
                <w:bCs/>
                <w:color w:val="000000"/>
                <w:sz w:val="24"/>
                <w:szCs w:val="24"/>
                <w:lang w:val="en-US"/>
              </w:rPr>
              <w:t xml:space="preserve">1、国家能源集团随州电厂项目。</w:t>
            </w:r>
            <w:r>
              <w:rPr>
                <w:rFonts w:hint="eastAsia"/>
                <w:color w:val="000000"/>
                <w:sz w:val="24"/>
                <w:szCs w:val="24"/>
                <w:lang w:val="en-US"/>
              </w:rPr>
              <w:t xml:space="preserve">建设2×660兆瓦超超临界燃煤机组，同步配套建设烟气脱硫设施和烟气脱硝装置。</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2、随州编钟500千伏变电站扩建项目。</w:t>
            </w:r>
            <w:r>
              <w:rPr>
                <w:rFonts w:hint="eastAsia"/>
                <w:color w:val="000000"/>
                <w:sz w:val="24"/>
                <w:szCs w:val="24"/>
                <w:lang w:val="en-US"/>
              </w:rPr>
              <w:t xml:space="preserve">扩建500千伏主变1×100万千伏安，新建500千伏线路120公里。</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3、随州市10千伏及以下配电网项目。</w:t>
            </w:r>
            <w:r>
              <w:rPr>
                <w:rFonts w:hint="eastAsia"/>
                <w:color w:val="000000"/>
                <w:sz w:val="24"/>
                <w:szCs w:val="24"/>
                <w:lang w:val="en-US"/>
              </w:rPr>
              <w:t xml:space="preserve">新增及改造配电变压器4459台，容量80.4万千伏安；新建及改造10千伏及以下线路6523公里。</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4、西气东输三线随州段项目。</w:t>
            </w:r>
            <w:r>
              <w:rPr>
                <w:rFonts w:hint="eastAsia"/>
                <w:color w:val="000000"/>
                <w:sz w:val="24"/>
                <w:szCs w:val="24"/>
                <w:lang w:val="en-US"/>
              </w:rPr>
              <w:t xml:space="preserve">随县境内约58公里。</w:t>
            </w:r>
            <w:r>
              <w:rPr>
                <w:rFonts w:hint="eastAsia"/>
                <w:color w:val="000000"/>
                <w:sz w:val="24"/>
                <w:szCs w:val="24"/>
                <w:lang w:val="en-US"/>
              </w:rPr>
            </w:r>
            <w:r>
              <w:rPr>
                <w:rFonts w:hint="eastAsia"/>
                <w:color w:val="000000"/>
                <w:sz w:val="24"/>
                <w:szCs w:val="24"/>
                <w:lang w:val="en-US"/>
              </w:rPr>
            </w:r>
          </w:p>
          <w:p>
            <w:pPr>
              <w:pStyle w:val="797"/>
              <w:pBdr/>
              <w:spacing/>
              <w:ind w:firstLine="482"/>
              <w:rPr>
                <w:rFonts w:hint="eastAsia"/>
                <w:color w:val="000000"/>
                <w:sz w:val="24"/>
                <w:szCs w:val="24"/>
                <w:lang w:val="en-US"/>
              </w:rPr>
            </w:pPr>
            <w:r>
              <w:rPr>
                <w:rFonts w:hint="eastAsia"/>
                <w:b/>
                <w:bCs/>
                <w:color w:val="000000"/>
                <w:sz w:val="24"/>
                <w:szCs w:val="24"/>
                <w:lang w:val="en-US"/>
              </w:rPr>
              <w:t xml:space="preserve">5、随州市气化乡镇项目。</w:t>
            </w:r>
            <w:r>
              <w:rPr>
                <w:rFonts w:hint="eastAsia"/>
                <w:color w:val="000000"/>
                <w:sz w:val="24"/>
                <w:szCs w:val="24"/>
                <w:lang w:val="en-US"/>
              </w:rPr>
              <w:t xml:space="preserve">铺设广水市12个镇及曾都区、随县部分镇的天然气输送管道及惠及10万户农村居民的分布式微管网。</w:t>
            </w:r>
            <w:r>
              <w:rPr>
                <w:rFonts w:hint="eastAsia"/>
                <w:color w:val="000000"/>
                <w:sz w:val="24"/>
                <w:szCs w:val="24"/>
                <w:lang w:val="en-US"/>
              </w:rPr>
            </w:r>
            <w:r>
              <w:rPr>
                <w:rFonts w:hint="eastAsia"/>
                <w:color w:val="000000"/>
                <w:sz w:val="24"/>
                <w:szCs w:val="24"/>
                <w:lang w:val="en-US"/>
              </w:rPr>
            </w:r>
          </w:p>
          <w:p>
            <w:pPr>
              <w:pStyle w:val="797"/>
              <w:pBdr/>
              <w:spacing/>
              <w:ind w:firstLine="482"/>
              <w:rPr>
                <w:color w:val="000000"/>
                <w:sz w:val="24"/>
                <w:szCs w:val="24"/>
                <w:lang w:val="en-US"/>
              </w:rPr>
            </w:pPr>
            <w:r>
              <w:rPr>
                <w:rFonts w:hint="eastAsia"/>
                <w:b/>
                <w:bCs/>
                <w:color w:val="000000"/>
                <w:sz w:val="24"/>
                <w:szCs w:val="24"/>
                <w:lang w:val="en-US"/>
              </w:rPr>
              <w:t xml:space="preserve">6、广水市天然气清洁能源综合利用项目。</w:t>
            </w:r>
            <w:r>
              <w:rPr>
                <w:rFonts w:hint="eastAsia"/>
                <w:color w:val="000000"/>
                <w:sz w:val="24"/>
                <w:szCs w:val="24"/>
                <w:lang w:val="en-US"/>
              </w:rPr>
              <w:t xml:space="preserve">占地50亩，建设一座储备能力达5000立方米的LNG调峰中心及城市车辆油气混合站。</w:t>
            </w:r>
            <w:r>
              <w:rPr>
                <w:color w:val="000000"/>
                <w:sz w:val="24"/>
                <w:szCs w:val="24"/>
                <w:lang w:val="en-US"/>
              </w:rPr>
            </w:r>
            <w:r>
              <w:rPr>
                <w:color w:val="000000"/>
                <w:sz w:val="24"/>
                <w:szCs w:val="24"/>
                <w:lang w:val="en-US"/>
              </w:rPr>
            </w:r>
          </w:p>
          <w:p>
            <w:pPr>
              <w:pStyle w:val="797"/>
              <w:pBdr/>
              <w:spacing/>
              <w:ind w:firstLine="482"/>
              <w:rPr>
                <w:rFonts w:hint="eastAsia" w:eastAsia="宋体"/>
                <w:color w:val="000000"/>
                <w:lang w:val="en-US"/>
              </w:rPr>
            </w:pPr>
            <w:r>
              <w:rPr>
                <w:rFonts w:hint="eastAsia"/>
                <w:b/>
                <w:bCs/>
                <w:color w:val="000000"/>
                <w:sz w:val="24"/>
                <w:szCs w:val="24"/>
                <w:lang w:val="en-US"/>
              </w:rPr>
              <w:t xml:space="preserve">7、东风油库迁建项目。</w:t>
            </w:r>
            <w:r>
              <w:rPr>
                <w:rFonts w:hint="eastAsia"/>
                <w:color w:val="000000"/>
                <w:sz w:val="24"/>
                <w:szCs w:val="24"/>
                <w:lang w:val="en-US"/>
              </w:rPr>
              <w:t xml:space="preserve">建设罐容6万平方米油库及配套设施。</w:t>
            </w:r>
            <w:r>
              <w:rPr>
                <w:rFonts w:hint="eastAsia" w:eastAsia="宋体"/>
                <w:color w:val="000000"/>
                <w:lang w:val="en-US"/>
              </w:rPr>
            </w:r>
            <w:r>
              <w:rPr>
                <w:rFonts w:hint="eastAsia" w:eastAsia="宋体"/>
                <w:color w:val="000000"/>
                <w:lang w:val="en-US"/>
              </w:rPr>
            </w:r>
          </w:p>
        </w:tc>
      </w:tr>
    </w:tbl>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bookmarkStart w:id="69" w:name="_Toc29982"/>
      <w:r>
        <w:rPr>
          <w:rFonts w:hint="eastAsia" w:ascii="黑体" w:hAnsi="黑体" w:eastAsia="黑体" w:cs="黑体"/>
          <w:b w:val="0"/>
          <w:bCs w:val="0"/>
          <w:color w:val="000000"/>
        </w:rPr>
        <w:t xml:space="preserve">三、完善水利设施网络</w:t>
      </w:r>
      <w:bookmarkEnd w:id="69"/>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rFonts w:hint="eastAsia" w:cs="仿宋_GB2312"/>
          <w:b/>
          <w:bCs/>
          <w:color w:val="000000"/>
        </w:rPr>
      </w:pPr>
      <w:r>
        <w:rPr>
          <w:rFonts w:hint="eastAsia" w:cs="仿宋_GB2312"/>
          <w:color w:val="000000"/>
        </w:rPr>
        <w:t xml:space="preserve">坚持“节水优先、空间均衡、系统治理、两手发力”的新时代治水方针，加强水利防灾减灾能力建设，优化水资源配置格局，完善水利基础设施网络体系，切实解决旱包子问题，全面提升水利支撑保障能力。</w:t>
      </w:r>
      <w:r>
        <w:rPr>
          <w:rFonts w:hint="eastAsia" w:cs="仿宋_GB2312"/>
          <w:b/>
          <w:bCs/>
          <w:color w:val="000000"/>
        </w:rPr>
      </w:r>
      <w:r>
        <w:rPr>
          <w:rFonts w:hint="eastAsia" w:cs="仿宋_GB2312"/>
          <w:b/>
          <w:bCs/>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重点实施防洪提升工程</w:t>
      </w:r>
      <w:r>
        <w:rPr>
          <w:rFonts w:hint="eastAsia" w:cs="仿宋_GB2312"/>
          <w:b/>
          <w:bCs/>
          <w:color w:val="000000"/>
        </w:rPr>
        <w:t xml:space="preserve">。</w:t>
      </w:r>
      <w:r>
        <w:rPr>
          <w:rFonts w:hint="eastAsia" w:cs="仿宋_GB2312"/>
          <w:color w:val="000000"/>
        </w:rPr>
        <w:t xml:space="preserve">开展广水市高峰寺、随县罗河、曾都区两河口等水库除险加固工程，完善配套全市小型水库管理设施。启动山洪灾害预防系统建设、河流自动遥测系统、大中型水库信息化提档升级等工程。实施河道治理和防洪工程，开展随州市府</w:t>
      </w:r>
      <w:r>
        <w:rPr>
          <w:rFonts w:hint="eastAsia" w:ascii="宋体" w:hAnsi="宋体" w:eastAsia="宋体" w:cs="仿宋_GB2312"/>
          <w:color w:val="000000"/>
        </w:rPr>
        <w:t xml:space="preserve">澴</w:t>
      </w:r>
      <w:r>
        <w:rPr>
          <w:rFonts w:hint="eastAsia" w:cs="仿宋_GB2312"/>
          <w:color w:val="000000"/>
        </w:rPr>
        <w:t xml:space="preserve">河河道和中小河流系统治理工程、广水市城市防洪工程及随县柳林镇、曾都区洛阳镇等重要集镇防洪工程建设。</w:t>
      </w:r>
      <w:r>
        <w:rPr>
          <w:rFonts w:hint="eastAsia" w:cs="仿宋_GB2312"/>
          <w:color w:val="000000"/>
        </w:rPr>
      </w:r>
      <w:r>
        <w:rPr>
          <w:rFonts w:hint="eastAsia" w:cs="仿宋_GB2312"/>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全力推进引调水及骨干水源工程</w:t>
      </w:r>
      <w:r>
        <w:rPr>
          <w:rFonts w:hint="eastAsia" w:cs="仿宋_GB2312"/>
          <w:b/>
          <w:bCs/>
          <w:color w:val="000000"/>
        </w:rPr>
        <w:t xml:space="preserve">。</w:t>
      </w:r>
      <w:r>
        <w:rPr>
          <w:rFonts w:hint="eastAsia" w:cs="仿宋_GB2312"/>
          <w:color w:val="000000"/>
        </w:rPr>
        <w:t xml:space="preserve">突出水资源配置工程建设，全力实现随州市</w:t>
      </w:r>
      <w:r>
        <w:rPr>
          <w:color w:val="000000"/>
        </w:rPr>
        <w:t xml:space="preserve">“</w:t>
      </w:r>
      <w:r>
        <w:rPr>
          <w:rFonts w:hint="eastAsia" w:cs="仿宋_GB2312"/>
          <w:color w:val="000000"/>
        </w:rPr>
        <w:t xml:space="preserve">鄂北旱包子</w:t>
      </w:r>
      <w:r>
        <w:rPr>
          <w:color w:val="000000"/>
        </w:rPr>
        <w:t xml:space="preserve">”</w:t>
      </w:r>
      <w:r>
        <w:rPr>
          <w:rFonts w:hint="eastAsia" w:cs="仿宋_GB2312"/>
          <w:color w:val="000000"/>
        </w:rPr>
        <w:t xml:space="preserve">摘帽，基本形成全市水资源配置</w:t>
      </w:r>
      <w:r>
        <w:rPr>
          <w:color w:val="000000"/>
        </w:rPr>
        <w:t xml:space="preserve">“</w:t>
      </w:r>
      <w:r>
        <w:rPr>
          <w:rFonts w:hint="eastAsia" w:cs="仿宋_GB2312"/>
          <w:color w:val="000000"/>
        </w:rPr>
        <w:t xml:space="preserve">空间均衡</w:t>
      </w:r>
      <w:r>
        <w:rPr>
          <w:color w:val="000000"/>
        </w:rPr>
        <w:t xml:space="preserve">”</w:t>
      </w:r>
      <w:r>
        <w:rPr>
          <w:rFonts w:hint="eastAsia" w:cs="仿宋_GB2312"/>
          <w:color w:val="000000"/>
        </w:rPr>
        <w:t xml:space="preserve">的格局。重点实施随州市鄂北水资源配置二期、随南区域大洪山北麓水资源配置工程、随中旱包子区域抗旱水资源配置工程等一批重点骨干引调水工程，新建金鸡河水库。</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稳步实施灌排提升工程</w:t>
      </w:r>
      <w:r>
        <w:rPr>
          <w:rFonts w:hint="eastAsia" w:cs="仿宋_GB2312"/>
          <w:b/>
          <w:bCs/>
          <w:color w:val="000000"/>
        </w:rPr>
        <w:t xml:space="preserve">。</w:t>
      </w:r>
      <w:r>
        <w:rPr>
          <w:rFonts w:hint="eastAsia" w:cs="仿宋_GB2312"/>
          <w:color w:val="000000"/>
        </w:rPr>
        <w:t xml:space="preserve">突出灌区节水改造工程建设，提高灌溉水利用系数，提高灌区现代化水平，提高抗旱能力。实施随中灌区、黑花飞</w:t>
      </w:r>
      <w:r>
        <w:rPr>
          <w:color w:val="000000"/>
        </w:rPr>
        <w:t xml:space="preserve">2</w:t>
      </w:r>
      <w:r>
        <w:rPr>
          <w:rFonts w:hint="eastAsia" w:cs="仿宋_GB2312"/>
          <w:color w:val="000000"/>
        </w:rPr>
        <w:t xml:space="preserve">个大型灌区续建配套和现代化改造工程，</w:t>
      </w:r>
      <w:r>
        <w:rPr>
          <w:color w:val="000000"/>
        </w:rPr>
        <w:t xml:space="preserve">28</w:t>
      </w:r>
      <w:r>
        <w:rPr>
          <w:rFonts w:hint="eastAsia" w:cs="仿宋_GB2312"/>
          <w:color w:val="000000"/>
        </w:rPr>
        <w:t xml:space="preserve">个中型灌区续建配套和现代化改造工程</w:t>
      </w:r>
      <w:r>
        <w:rPr>
          <w:rFonts w:hint="eastAsia" w:cs="仿宋_GB2312"/>
          <w:color w:val="000000"/>
          <w:lang w:eastAsia="zh-CN"/>
        </w:rPr>
        <w:t xml:space="preserve">及</w:t>
      </w:r>
      <w:r>
        <w:rPr>
          <w:color w:val="000000"/>
        </w:rPr>
        <w:t xml:space="preserve">677</w:t>
      </w:r>
      <w:r>
        <w:rPr>
          <w:rFonts w:hint="eastAsia" w:cs="仿宋_GB2312"/>
          <w:color w:val="000000"/>
        </w:rPr>
        <w:t xml:space="preserve">座小型水库干渠节水改造工程，对广水虎山、高庙等病险水闸进行除险加固。</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大力推进城乡供水保障工程</w:t>
      </w:r>
      <w:r>
        <w:rPr>
          <w:rFonts w:hint="eastAsia" w:cs="仿宋_GB2312"/>
          <w:b/>
          <w:bCs/>
          <w:color w:val="000000"/>
        </w:rPr>
        <w:t xml:space="preserve">。</w:t>
      </w:r>
      <w:r>
        <w:rPr>
          <w:rFonts w:hint="eastAsia" w:cs="仿宋_GB2312"/>
          <w:color w:val="000000"/>
        </w:rPr>
        <w:t xml:space="preserve">突出农村供水保障工程建设，按照</w:t>
      </w:r>
      <w:r>
        <w:rPr>
          <w:color w:val="000000"/>
        </w:rPr>
        <w:t xml:space="preserve">“</w:t>
      </w:r>
      <w:r>
        <w:rPr>
          <w:rFonts w:hint="eastAsia" w:cs="仿宋_GB2312"/>
          <w:color w:val="000000"/>
        </w:rPr>
        <w:t xml:space="preserve">大水源配置、大水厂建设、大管网延伸、大体量运营</w:t>
      </w:r>
      <w:r>
        <w:rPr>
          <w:color w:val="000000"/>
        </w:rPr>
        <w:t xml:space="preserve">”</w:t>
      </w:r>
      <w:r>
        <w:rPr>
          <w:rFonts w:hint="eastAsia" w:cs="仿宋_GB2312"/>
          <w:color w:val="000000"/>
        </w:rPr>
        <w:t xml:space="preserve">模式实现自来水全覆盖，改善</w:t>
      </w:r>
      <w:r>
        <w:rPr>
          <w:color w:val="000000"/>
        </w:rPr>
        <w:t xml:space="preserve">60</w:t>
      </w:r>
      <w:r>
        <w:rPr>
          <w:rFonts w:hint="eastAsia" w:cs="仿宋_GB2312"/>
          <w:color w:val="000000"/>
        </w:rPr>
        <w:t xml:space="preserve">万人饮水问题，满足农村供水保证率要求。加大城乡供水改革力度，启动随县、曾都区、随州高新区农村供水保障工程，实施随县城乡供水一体化工程，扩建广水市二水厂和霞家河水厂。</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逐步实施水资源保护工程</w:t>
      </w:r>
      <w:r>
        <w:rPr>
          <w:rFonts w:hint="eastAsia" w:cs="仿宋_GB2312"/>
          <w:b/>
          <w:bCs/>
          <w:color w:val="000000"/>
        </w:rPr>
        <w:t xml:space="preserve">。</w:t>
      </w:r>
      <w:r>
        <w:rPr>
          <w:rFonts w:hint="eastAsia" w:cs="仿宋_GB2312"/>
          <w:color w:val="000000"/>
        </w:rPr>
        <w:t xml:space="preserve">实施白云湖水环境提升工程、随州市</w:t>
      </w:r>
      <w:r>
        <w:rPr>
          <w:rFonts w:hint="eastAsia" w:ascii="宋体-方正超大字符集" w:hAnsi="宋体-方正超大字符集" w:eastAsia="宋体-方正超大字符集" w:cs="宋体-方正超大字符集"/>
          <w:color w:val="000000"/>
        </w:rPr>
        <w:t xml:space="preserve">㵐</w:t>
      </w:r>
      <w:r>
        <w:rPr>
          <w:rFonts w:hint="eastAsia" w:cs="仿宋_GB2312"/>
          <w:color w:val="000000"/>
        </w:rPr>
        <w:t xml:space="preserve">水梁家桥水生态连通工程，加快推进随州市先觉庙水库水源地保护工程、随县封江口水库水源地保护和综合治理工程</w:t>
      </w:r>
      <w:r>
        <w:rPr>
          <w:rFonts w:hint="eastAsia" w:cs="仿宋_GB2312"/>
          <w:color w:val="000000"/>
          <w:lang w:eastAsia="zh-CN"/>
        </w:rPr>
        <w:t xml:space="preserve">及</w:t>
      </w:r>
      <w:r>
        <w:rPr>
          <w:rFonts w:hint="eastAsia" w:cs="仿宋_GB2312"/>
          <w:color w:val="000000"/>
        </w:rPr>
        <w:t xml:space="preserve">农村集中饮用水源地保护工程。</w:t>
      </w:r>
      <w:r>
        <w:rPr>
          <w:color w:val="000000"/>
        </w:rPr>
      </w:r>
      <w:r>
        <w:rPr>
          <w:color w:val="000000"/>
        </w:rPr>
      </w:r>
    </w:p>
    <w:tbl>
      <w:tblPr>
        <w:tblW w:w="0" w:type="auto"/>
        <w:tblInd w:w="-1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4A0" w:firstRow="1" w:lastRow="0" w:firstColumn="1" w:lastColumn="0" w:noHBand="0" w:noVBand="1"/>
      </w:tblPr>
      <w:tblGrid>
        <w:gridCol w:w="8834"/>
      </w:tblGrid>
      <w:tr>
        <w:trPr/>
        <w:tc>
          <w:tcPr>
            <w:tcBorders/>
            <w:tcW w:w="8834" w:type="dxa"/>
            <w:vAlign w:val="top"/>
            <w:textDirection w:val="lrTb"/>
            <w:noWrap w:val="false"/>
          </w:tcPr>
          <w:p>
            <w:pPr>
              <w:pStyle w:val="797"/>
              <w:pBdr/>
              <w:spacing/>
              <w:ind w:firstLine="562"/>
              <w:jc w:val="center"/>
              <w:rPr>
                <w:rFonts w:hint="eastAsia" w:eastAsia="宋体"/>
                <w:b/>
                <w:bCs/>
                <w:color w:val="000000"/>
              </w:rPr>
            </w:pPr>
            <w:r>
              <w:rPr>
                <w:rFonts w:hint="eastAsia" w:cs="宋体"/>
                <w:b/>
                <w:bCs/>
                <w:color w:val="000000"/>
                <w:sz w:val="28"/>
                <w:szCs w:val="28"/>
              </w:rPr>
              <w:t xml:space="preserve">专栏八：水利领域重点项目</w:t>
            </w:r>
            <w:r>
              <w:rPr>
                <w:rFonts w:hint="eastAsia" w:eastAsia="宋体"/>
                <w:b/>
                <w:bCs/>
                <w:color w:val="000000"/>
              </w:rPr>
            </w:r>
            <w:r>
              <w:rPr>
                <w:rFonts w:hint="eastAsia" w:eastAsia="宋体"/>
                <w:b/>
                <w:bCs/>
                <w:color w:val="000000"/>
              </w:rPr>
            </w:r>
          </w:p>
        </w:tc>
      </w:tr>
      <w:tr>
        <w:trPr/>
        <w:tc>
          <w:tcPr>
            <w:tcBorders/>
            <w:tcW w:w="8834" w:type="dxa"/>
            <w:vAlign w:val="top"/>
            <w:textDirection w:val="lrTb"/>
            <w:noWrap w:val="false"/>
          </w:tcPr>
          <w:p>
            <w:pPr>
              <w:pStyle w:val="797"/>
              <w:pBdr/>
              <w:spacing/>
              <w:ind w:firstLine="482"/>
              <w:rPr>
                <w:rFonts w:eastAsia="宋体"/>
                <w:color w:val="000000"/>
                <w:sz w:val="24"/>
                <w:szCs w:val="24"/>
                <w:lang w:val="en-US"/>
              </w:rPr>
            </w:pPr>
            <w:r>
              <w:rPr>
                <w:b/>
                <w:bCs/>
                <w:color w:val="000000"/>
                <w:sz w:val="24"/>
                <w:szCs w:val="24"/>
              </w:rPr>
              <w:t xml:space="preserve">1</w:t>
            </w:r>
            <w:r>
              <w:rPr>
                <w:rFonts w:hint="eastAsia"/>
                <w:b/>
                <w:bCs/>
                <w:color w:val="000000"/>
                <w:sz w:val="24"/>
                <w:szCs w:val="24"/>
              </w:rPr>
              <w:t xml:space="preserve">、</w:t>
            </w:r>
            <w:r>
              <w:rPr>
                <w:rFonts w:hint="eastAsia" w:cs="宋体"/>
                <w:b/>
                <w:bCs/>
                <w:color w:val="000000"/>
                <w:sz w:val="24"/>
                <w:szCs w:val="24"/>
              </w:rPr>
              <w:t xml:space="preserve">鄂北水资源配置二期随州市配套工程。</w:t>
            </w:r>
            <w:r>
              <w:rPr>
                <w:rFonts w:hint="eastAsia" w:cs="宋体"/>
                <w:color w:val="000000"/>
                <w:sz w:val="24"/>
                <w:szCs w:val="24"/>
              </w:rPr>
              <w:t xml:space="preserve">建设封江口、先觉庙、两河口、黑龙口、鲁城河、砂河口、高城、余店、应山城区、四家门楼、霞家河等</w:t>
            </w:r>
            <w:r>
              <w:rPr>
                <w:rFonts w:hint="eastAsia" w:cs="宋体"/>
                <w:color w:val="000000"/>
                <w:sz w:val="24"/>
                <w:szCs w:val="24"/>
                <w:lang w:val="en-US"/>
              </w:rPr>
              <w:t xml:space="preserve">11个分水口工程。</w:t>
            </w:r>
            <w:r>
              <w:rPr>
                <w:rFonts w:eastAsia="宋体"/>
                <w:color w:val="000000"/>
                <w:sz w:val="24"/>
                <w:szCs w:val="24"/>
                <w:lang w:val="en-US"/>
              </w:rPr>
            </w:r>
            <w:r>
              <w:rPr>
                <w:rFonts w:eastAsia="宋体"/>
                <w:color w:val="000000"/>
                <w:sz w:val="24"/>
                <w:szCs w:val="24"/>
                <w:lang w:val="en-US"/>
              </w:rPr>
            </w:r>
          </w:p>
          <w:p>
            <w:pPr>
              <w:pStyle w:val="797"/>
              <w:pBdr/>
              <w:spacing/>
              <w:ind w:firstLine="482"/>
              <w:rPr>
                <w:rFonts w:hint="eastAsia" w:eastAsia="宋体"/>
                <w:color w:val="000000"/>
                <w:sz w:val="24"/>
                <w:szCs w:val="24"/>
              </w:rPr>
            </w:pPr>
            <w:r>
              <w:rPr>
                <w:b/>
                <w:bCs/>
                <w:color w:val="000000"/>
                <w:sz w:val="24"/>
                <w:szCs w:val="24"/>
              </w:rPr>
              <w:t xml:space="preserve">2</w:t>
            </w:r>
            <w:r>
              <w:rPr>
                <w:rFonts w:hint="eastAsia"/>
                <w:b/>
                <w:bCs/>
                <w:color w:val="000000"/>
                <w:sz w:val="24"/>
                <w:szCs w:val="24"/>
              </w:rPr>
              <w:t xml:space="preserve">、</w:t>
            </w:r>
            <w:r>
              <w:rPr>
                <w:rFonts w:hint="eastAsia" w:cs="宋体"/>
                <w:b/>
                <w:bCs/>
                <w:color w:val="000000"/>
                <w:sz w:val="24"/>
                <w:szCs w:val="24"/>
              </w:rPr>
              <w:t xml:space="preserve">随州市府</w:t>
            </w:r>
            <w:r>
              <w:rPr>
                <w:rFonts w:hint="eastAsia" w:ascii="宋体" w:hAnsi="宋体" w:eastAsia="宋体" w:cs="宋体"/>
                <w:b/>
                <w:bCs/>
                <w:color w:val="000000"/>
                <w:sz w:val="24"/>
                <w:szCs w:val="24"/>
              </w:rPr>
              <w:t xml:space="preserve">澴</w:t>
            </w:r>
            <w:r>
              <w:rPr>
                <w:rFonts w:hint="eastAsia" w:cs="宋体"/>
                <w:b/>
                <w:bCs/>
                <w:color w:val="000000"/>
                <w:sz w:val="24"/>
                <w:szCs w:val="24"/>
              </w:rPr>
              <w:t xml:space="preserve">河河道治理工程。</w:t>
            </w:r>
            <w:r>
              <w:rPr>
                <w:rFonts w:hint="eastAsia" w:cs="宋体"/>
                <w:color w:val="000000"/>
                <w:sz w:val="24"/>
                <w:szCs w:val="24"/>
              </w:rPr>
              <w:t xml:space="preserve">对随州境内</w:t>
            </w:r>
            <w:r>
              <w:rPr>
                <w:rFonts w:hint="eastAsia" w:cs="宋体"/>
                <w:color w:val="000000"/>
                <w:sz w:val="24"/>
                <w:szCs w:val="24"/>
                <w:lang w:val="en-US"/>
              </w:rPr>
              <w:t xml:space="preserve">194公里的</w:t>
            </w:r>
            <w:r>
              <w:rPr>
                <w:rFonts w:hint="eastAsia" w:cs="宋体"/>
                <w:color w:val="000000"/>
                <w:sz w:val="24"/>
                <w:szCs w:val="24"/>
              </w:rPr>
              <w:t xml:space="preserve">府</w:t>
            </w:r>
            <w:r>
              <w:rPr>
                <w:rFonts w:hint="eastAsia" w:ascii="宋体" w:hAnsi="宋体" w:eastAsia="宋体" w:cs="宋体"/>
                <w:color w:val="000000"/>
                <w:sz w:val="24"/>
                <w:szCs w:val="24"/>
              </w:rPr>
              <w:t xml:space="preserve">澴</w:t>
            </w:r>
            <w:r>
              <w:rPr>
                <w:rFonts w:hint="eastAsia" w:cs="宋体"/>
                <w:color w:val="000000"/>
                <w:sz w:val="24"/>
                <w:szCs w:val="24"/>
              </w:rPr>
              <w:t xml:space="preserve">河岸线、堤防进行防洪、防冲治理。</w:t>
            </w:r>
            <w:r>
              <w:rPr>
                <w:rFonts w:hint="eastAsia" w:eastAsia="宋体"/>
                <w:color w:val="000000"/>
                <w:sz w:val="24"/>
                <w:szCs w:val="24"/>
              </w:rPr>
            </w:r>
            <w:r>
              <w:rPr>
                <w:rFonts w:hint="eastAsia" w:eastAsia="宋体"/>
                <w:color w:val="000000"/>
                <w:sz w:val="24"/>
                <w:szCs w:val="24"/>
              </w:rPr>
            </w:r>
          </w:p>
          <w:p>
            <w:pPr>
              <w:pStyle w:val="797"/>
              <w:pBdr/>
              <w:spacing/>
              <w:ind w:firstLine="482"/>
              <w:rPr>
                <w:color w:val="000000"/>
                <w:sz w:val="24"/>
                <w:szCs w:val="24"/>
              </w:rPr>
            </w:pPr>
            <w:r>
              <w:rPr>
                <w:b/>
                <w:bCs/>
                <w:color w:val="000000"/>
                <w:sz w:val="24"/>
                <w:szCs w:val="24"/>
              </w:rPr>
              <w:t xml:space="preserve">3</w:t>
            </w:r>
            <w:r>
              <w:rPr>
                <w:rFonts w:hint="eastAsia"/>
                <w:b/>
                <w:bCs/>
                <w:color w:val="000000"/>
                <w:sz w:val="24"/>
                <w:szCs w:val="24"/>
              </w:rPr>
              <w:t xml:space="preserve">、</w:t>
            </w:r>
            <w:r>
              <w:rPr>
                <w:rFonts w:hint="eastAsia" w:cs="宋体"/>
                <w:b/>
                <w:bCs/>
                <w:color w:val="000000"/>
                <w:sz w:val="24"/>
                <w:szCs w:val="24"/>
              </w:rPr>
              <w:t xml:space="preserve">鄂北旱包子（随州）抗旱水资源配置工程。</w:t>
            </w:r>
            <w:r>
              <w:rPr>
                <w:rFonts w:hint="eastAsia" w:cs="宋体"/>
                <w:color w:val="000000"/>
                <w:sz w:val="24"/>
                <w:szCs w:val="24"/>
              </w:rPr>
              <w:t xml:space="preserve">主要包括随州市随南大洪山北麓区域水资源配置工程和随中旱包子区域抗旱水资源配置工程。</w:t>
            </w:r>
            <w:r>
              <w:rPr>
                <w:color w:val="000000"/>
                <w:sz w:val="24"/>
                <w:szCs w:val="24"/>
              </w:rPr>
            </w:r>
            <w:r>
              <w:rPr>
                <w:color w:val="000000"/>
                <w:sz w:val="24"/>
                <w:szCs w:val="24"/>
              </w:rPr>
            </w:r>
          </w:p>
          <w:p>
            <w:pPr>
              <w:pStyle w:val="797"/>
              <w:pBdr/>
              <w:spacing/>
              <w:ind w:firstLine="482"/>
              <w:rPr>
                <w:color w:val="000000"/>
                <w:sz w:val="24"/>
                <w:szCs w:val="24"/>
              </w:rPr>
            </w:pPr>
            <w:r>
              <w:rPr>
                <w:b/>
                <w:bCs/>
                <w:color w:val="000000"/>
                <w:sz w:val="24"/>
                <w:szCs w:val="24"/>
              </w:rPr>
              <w:t xml:space="preserve">4</w:t>
            </w:r>
            <w:r>
              <w:rPr>
                <w:rFonts w:hint="eastAsia"/>
                <w:b/>
                <w:bCs/>
                <w:color w:val="000000"/>
                <w:sz w:val="24"/>
                <w:szCs w:val="24"/>
              </w:rPr>
              <w:t xml:space="preserve">、</w:t>
            </w:r>
            <w:r>
              <w:rPr>
                <w:rFonts w:hint="eastAsia" w:cs="宋体"/>
                <w:b/>
                <w:bCs/>
                <w:color w:val="000000"/>
                <w:sz w:val="24"/>
                <w:szCs w:val="24"/>
              </w:rPr>
              <w:t xml:space="preserve">随州市农村供水保障工程。</w:t>
            </w:r>
            <w:r>
              <w:rPr>
                <w:rFonts w:hint="eastAsia" w:cs="宋体"/>
                <w:color w:val="000000"/>
                <w:sz w:val="24"/>
                <w:szCs w:val="24"/>
              </w:rPr>
              <w:t xml:space="preserve">主要包括随县城乡供水一体化工程</w:t>
            </w:r>
            <w:r>
              <w:rPr>
                <w:rFonts w:hint="eastAsia" w:cs="宋体"/>
                <w:color w:val="000000"/>
                <w:sz w:val="24"/>
                <w:szCs w:val="24"/>
                <w:lang w:eastAsia="zh-CN"/>
              </w:rPr>
              <w:t xml:space="preserve">、</w:t>
            </w:r>
            <w:r>
              <w:rPr>
                <w:rFonts w:hint="eastAsia" w:cs="宋体"/>
                <w:color w:val="000000"/>
                <w:sz w:val="24"/>
                <w:szCs w:val="24"/>
              </w:rPr>
              <w:t xml:space="preserve">曾都区</w:t>
            </w:r>
            <w:r>
              <w:rPr>
                <w:color w:val="000000"/>
                <w:sz w:val="24"/>
                <w:szCs w:val="24"/>
              </w:rPr>
              <w:t xml:space="preserve">“</w:t>
            </w:r>
            <w:r>
              <w:rPr>
                <w:rFonts w:hint="eastAsia" w:cs="宋体"/>
                <w:color w:val="000000"/>
                <w:sz w:val="24"/>
                <w:szCs w:val="24"/>
              </w:rPr>
              <w:t xml:space="preserve">十四五</w:t>
            </w:r>
            <w:r>
              <w:rPr>
                <w:color w:val="000000"/>
                <w:sz w:val="24"/>
                <w:szCs w:val="24"/>
              </w:rPr>
              <w:t xml:space="preserve">”</w:t>
            </w:r>
            <w:r>
              <w:rPr>
                <w:rFonts w:hint="eastAsia" w:cs="宋体"/>
                <w:color w:val="000000"/>
                <w:sz w:val="24"/>
                <w:szCs w:val="24"/>
              </w:rPr>
              <w:t xml:space="preserve">农村供水保障工程</w:t>
            </w:r>
            <w:r>
              <w:rPr>
                <w:rFonts w:hint="eastAsia" w:cs="宋体"/>
                <w:color w:val="000000"/>
                <w:sz w:val="24"/>
                <w:szCs w:val="24"/>
                <w:lang w:eastAsia="zh-CN"/>
              </w:rPr>
              <w:t xml:space="preserve">、</w:t>
            </w:r>
            <w:r>
              <w:rPr>
                <w:rFonts w:hint="eastAsia" w:cs="宋体"/>
                <w:color w:val="000000"/>
                <w:sz w:val="24"/>
                <w:szCs w:val="24"/>
              </w:rPr>
              <w:t xml:space="preserve">随州高新区淅河镇农村安全饮水巩固提升工程、广水市农村安全饮水补短板工程等。</w:t>
            </w:r>
            <w:r>
              <w:rPr>
                <w:color w:val="000000"/>
                <w:sz w:val="24"/>
                <w:szCs w:val="24"/>
              </w:rPr>
            </w:r>
            <w:r>
              <w:rPr>
                <w:color w:val="000000"/>
                <w:sz w:val="24"/>
                <w:szCs w:val="24"/>
              </w:rPr>
            </w:r>
          </w:p>
          <w:p>
            <w:pPr>
              <w:pStyle w:val="797"/>
              <w:pBdr/>
              <w:spacing/>
              <w:ind w:firstLine="482"/>
              <w:rPr>
                <w:color w:val="000000"/>
                <w:sz w:val="24"/>
                <w:szCs w:val="24"/>
              </w:rPr>
            </w:pPr>
            <w:r>
              <w:rPr>
                <w:b/>
                <w:bCs/>
                <w:color w:val="000000"/>
                <w:sz w:val="24"/>
                <w:szCs w:val="24"/>
              </w:rPr>
              <w:t xml:space="preserve">5</w:t>
            </w:r>
            <w:r>
              <w:rPr>
                <w:rFonts w:hint="eastAsia"/>
                <w:b/>
                <w:bCs/>
                <w:color w:val="000000"/>
                <w:sz w:val="24"/>
                <w:szCs w:val="24"/>
              </w:rPr>
              <w:t xml:space="preserve">、</w:t>
            </w:r>
            <w:r>
              <w:rPr>
                <w:rFonts w:hint="eastAsia" w:cs="宋体"/>
                <w:b/>
                <w:bCs/>
                <w:color w:val="000000"/>
                <w:sz w:val="24"/>
                <w:szCs w:val="24"/>
              </w:rPr>
              <w:t xml:space="preserve">随州市中小河流综合治理工程。</w:t>
            </w:r>
            <w:r>
              <w:rPr>
                <w:rFonts w:hint="eastAsia" w:cs="宋体"/>
                <w:color w:val="000000"/>
                <w:sz w:val="24"/>
                <w:szCs w:val="24"/>
              </w:rPr>
              <w:t xml:space="preserve">主要包括随州市</w:t>
            </w:r>
            <w:r>
              <w:rPr>
                <w:color w:val="000000"/>
                <w:sz w:val="24"/>
                <w:szCs w:val="24"/>
              </w:rPr>
              <w:t xml:space="preserve">23</w:t>
            </w:r>
            <w:r>
              <w:rPr>
                <w:rFonts w:hint="eastAsia" w:cs="宋体"/>
                <w:color w:val="000000"/>
                <w:sz w:val="24"/>
                <w:szCs w:val="24"/>
              </w:rPr>
              <w:t xml:space="preserve">个中小河流系统治理，重点实施</w:t>
            </w:r>
            <w:r>
              <w:rPr>
                <w:rFonts w:hint="eastAsia" w:ascii="宋体-方正超大字符集" w:hAnsi="宋体-方正超大字符集" w:eastAsia="宋体-方正超大字符集" w:cs="宋体-方正超大字符集"/>
                <w:color w:val="000000"/>
                <w:sz w:val="24"/>
                <w:szCs w:val="24"/>
              </w:rPr>
              <w:t xml:space="preserve">㵐</w:t>
            </w:r>
            <w:r>
              <w:rPr>
                <w:rFonts w:hint="eastAsia" w:cs="宋体"/>
                <w:color w:val="000000"/>
                <w:sz w:val="24"/>
                <w:szCs w:val="24"/>
              </w:rPr>
              <w:t xml:space="preserve">水河、清水河、广水河、漳水河、漂水河、浪河、游河等重点中小河流河道治理工程。</w:t>
            </w:r>
            <w:r>
              <w:rPr>
                <w:color w:val="000000"/>
                <w:sz w:val="24"/>
                <w:szCs w:val="24"/>
              </w:rPr>
            </w:r>
            <w:r>
              <w:rPr>
                <w:color w:val="000000"/>
                <w:sz w:val="24"/>
                <w:szCs w:val="24"/>
              </w:rPr>
            </w:r>
          </w:p>
          <w:p>
            <w:pPr>
              <w:pStyle w:val="797"/>
              <w:pBdr/>
              <w:spacing/>
              <w:ind w:firstLine="482"/>
              <w:rPr>
                <w:color w:val="000000"/>
                <w:sz w:val="24"/>
                <w:szCs w:val="24"/>
              </w:rPr>
            </w:pPr>
            <w:r>
              <w:rPr>
                <w:b/>
                <w:bCs/>
                <w:color w:val="000000"/>
                <w:sz w:val="24"/>
                <w:szCs w:val="24"/>
              </w:rPr>
              <w:t xml:space="preserve">6</w:t>
            </w:r>
            <w:r>
              <w:rPr>
                <w:rFonts w:hint="eastAsia"/>
                <w:b/>
                <w:bCs/>
                <w:color w:val="000000"/>
                <w:sz w:val="24"/>
                <w:szCs w:val="24"/>
              </w:rPr>
              <w:t xml:space="preserve">、</w:t>
            </w:r>
            <w:r>
              <w:rPr>
                <w:rFonts w:hint="eastAsia" w:cs="宋体"/>
                <w:b/>
                <w:bCs/>
                <w:color w:val="000000"/>
                <w:sz w:val="24"/>
                <w:szCs w:val="24"/>
              </w:rPr>
              <w:t xml:space="preserve">随州市水库水闸除险加固工程。</w:t>
            </w:r>
            <w:r>
              <w:rPr>
                <w:rFonts w:hint="eastAsia" w:cs="宋体"/>
                <w:color w:val="000000"/>
                <w:sz w:val="24"/>
                <w:szCs w:val="24"/>
              </w:rPr>
              <w:t xml:space="preserve">主要包括高峰寺、罗河、两河口、青林、红光、泉源、紫金山等水库除险加固工程和高店、虎山等拦河闸除险加固工程。</w:t>
            </w:r>
            <w:r>
              <w:rPr>
                <w:color w:val="000000"/>
                <w:sz w:val="24"/>
                <w:szCs w:val="24"/>
              </w:rPr>
            </w:r>
            <w:r>
              <w:rPr>
                <w:color w:val="000000"/>
                <w:sz w:val="24"/>
                <w:szCs w:val="24"/>
              </w:rPr>
            </w:r>
          </w:p>
          <w:p>
            <w:pPr>
              <w:pStyle w:val="797"/>
              <w:pBdr/>
              <w:spacing/>
              <w:ind w:firstLine="482"/>
              <w:rPr>
                <w:color w:val="000000"/>
                <w:sz w:val="24"/>
                <w:szCs w:val="24"/>
              </w:rPr>
            </w:pPr>
            <w:r>
              <w:rPr>
                <w:b/>
                <w:bCs/>
                <w:color w:val="000000"/>
                <w:sz w:val="24"/>
                <w:szCs w:val="24"/>
              </w:rPr>
              <w:t xml:space="preserve">7</w:t>
            </w:r>
            <w:r>
              <w:rPr>
                <w:rFonts w:hint="eastAsia"/>
                <w:b/>
                <w:bCs/>
                <w:color w:val="000000"/>
                <w:sz w:val="24"/>
                <w:szCs w:val="24"/>
              </w:rPr>
              <w:t xml:space="preserve">、</w:t>
            </w:r>
            <w:r>
              <w:rPr>
                <w:rFonts w:hint="eastAsia" w:cs="宋体"/>
                <w:b/>
                <w:bCs/>
                <w:color w:val="000000"/>
                <w:sz w:val="24"/>
                <w:szCs w:val="24"/>
              </w:rPr>
              <w:t xml:space="preserve">随州市大中型灌区续建配套与现代化改造工程。</w:t>
            </w:r>
            <w:r>
              <w:rPr>
                <w:rFonts w:hint="eastAsia" w:cs="宋体"/>
                <w:color w:val="000000"/>
                <w:sz w:val="24"/>
                <w:szCs w:val="24"/>
              </w:rPr>
              <w:t xml:space="preserve">主要包括随中灌区、广水黑花飞灌区两个灌区和</w:t>
            </w:r>
            <w:r>
              <w:rPr>
                <w:color w:val="000000"/>
                <w:sz w:val="24"/>
                <w:szCs w:val="24"/>
              </w:rPr>
              <w:t xml:space="preserve">29</w:t>
            </w:r>
            <w:r>
              <w:rPr>
                <w:rFonts w:hint="eastAsia" w:cs="宋体"/>
                <w:color w:val="000000"/>
                <w:sz w:val="24"/>
                <w:szCs w:val="24"/>
              </w:rPr>
              <w:t xml:space="preserve">个中型灌区续建配套与现代化改造工程。</w:t>
            </w:r>
            <w:r>
              <w:rPr>
                <w:color w:val="000000"/>
                <w:sz w:val="24"/>
                <w:szCs w:val="24"/>
              </w:rPr>
            </w:r>
            <w:r>
              <w:rPr>
                <w:color w:val="000000"/>
                <w:sz w:val="24"/>
                <w:szCs w:val="24"/>
              </w:rPr>
            </w:r>
          </w:p>
          <w:p>
            <w:pPr>
              <w:pStyle w:val="797"/>
              <w:pBdr/>
              <w:spacing/>
              <w:ind w:firstLine="482"/>
              <w:rPr>
                <w:color w:val="000000"/>
                <w:sz w:val="24"/>
                <w:szCs w:val="24"/>
              </w:rPr>
            </w:pPr>
            <w:r>
              <w:rPr>
                <w:b/>
                <w:bCs/>
                <w:color w:val="000000"/>
                <w:sz w:val="24"/>
                <w:szCs w:val="24"/>
              </w:rPr>
              <w:t xml:space="preserve">8</w:t>
            </w:r>
            <w:r>
              <w:rPr>
                <w:rFonts w:hint="eastAsia"/>
                <w:b/>
                <w:bCs/>
                <w:color w:val="000000"/>
                <w:sz w:val="24"/>
                <w:szCs w:val="24"/>
              </w:rPr>
              <w:t xml:space="preserve">、</w:t>
            </w:r>
            <w:r>
              <w:rPr>
                <w:rFonts w:hint="eastAsia" w:cs="宋体"/>
                <w:b/>
                <w:bCs/>
                <w:color w:val="000000"/>
                <w:sz w:val="24"/>
                <w:szCs w:val="24"/>
              </w:rPr>
              <w:t xml:space="preserve">随州市智慧水利工程。</w:t>
            </w:r>
            <w:r>
              <w:rPr>
                <w:rFonts w:hint="eastAsia" w:cs="宋体"/>
                <w:color w:val="000000"/>
                <w:sz w:val="24"/>
                <w:szCs w:val="24"/>
              </w:rPr>
              <w:t xml:space="preserve">主要包括随州市河道信息化系统建设项目、随州市大中型水库信息化提档升级项目、随州市山洪灾害预防系统建设等方面。</w:t>
            </w:r>
            <w:r>
              <w:rPr>
                <w:color w:val="000000"/>
                <w:sz w:val="24"/>
                <w:szCs w:val="24"/>
              </w:rPr>
            </w:r>
            <w:r>
              <w:rPr>
                <w:color w:val="000000"/>
                <w:sz w:val="24"/>
                <w:szCs w:val="24"/>
              </w:rPr>
            </w:r>
          </w:p>
          <w:p>
            <w:pPr>
              <w:pStyle w:val="797"/>
              <w:pBdr/>
              <w:spacing/>
              <w:ind w:firstLine="482"/>
              <w:rPr>
                <w:color w:val="000000"/>
                <w:sz w:val="24"/>
                <w:szCs w:val="24"/>
              </w:rPr>
            </w:pPr>
            <w:r>
              <w:rPr>
                <w:b/>
                <w:bCs/>
                <w:color w:val="000000"/>
                <w:sz w:val="24"/>
                <w:szCs w:val="24"/>
              </w:rPr>
              <w:t xml:space="preserve">9</w:t>
            </w:r>
            <w:r>
              <w:rPr>
                <w:rFonts w:hint="eastAsia"/>
                <w:b/>
                <w:bCs/>
                <w:color w:val="000000"/>
                <w:sz w:val="24"/>
                <w:szCs w:val="24"/>
              </w:rPr>
              <w:t xml:space="preserve">、</w:t>
            </w:r>
            <w:r>
              <w:rPr>
                <w:rFonts w:hint="eastAsia" w:cs="宋体"/>
                <w:b/>
                <w:bCs/>
                <w:color w:val="000000"/>
                <w:sz w:val="24"/>
                <w:szCs w:val="24"/>
              </w:rPr>
              <w:t xml:space="preserve">随州市水资源和水环境保护工程。</w:t>
            </w:r>
            <w:r>
              <w:rPr>
                <w:rFonts w:hint="eastAsia" w:cs="宋体"/>
                <w:color w:val="000000"/>
                <w:sz w:val="24"/>
                <w:szCs w:val="24"/>
              </w:rPr>
              <w:t xml:space="preserve">主要包括先觉庙水库水源地保护工程、府河流域孔家畈段水生态综合治理工程、</w:t>
            </w:r>
            <w:r>
              <w:rPr>
                <w:rFonts w:hint="eastAsia" w:ascii="宋体" w:hAnsi="宋体" w:eastAsia="宋体-方正超大字符集" w:cs="宋体-方正超大字符集"/>
                <w:color w:val="000000"/>
                <w:sz w:val="24"/>
                <w:szCs w:val="24"/>
              </w:rPr>
              <w:t xml:space="preserve">㵐</w:t>
            </w:r>
            <w:r>
              <w:rPr>
                <w:rFonts w:hint="eastAsia" w:cs="宋体"/>
                <w:color w:val="000000"/>
                <w:sz w:val="24"/>
                <w:szCs w:val="24"/>
              </w:rPr>
              <w:t xml:space="preserve">水梁家桥水生态连通工程、白云湖水环境提升工程、大洪山水生态治理建设项目、封江口水库水源地保护和综合治理工程、徐家河综合治理工程。</w:t>
            </w:r>
            <w:r>
              <w:rPr>
                <w:color w:val="000000"/>
                <w:sz w:val="24"/>
                <w:szCs w:val="24"/>
              </w:rPr>
            </w:r>
            <w:r>
              <w:rPr>
                <w:color w:val="000000"/>
                <w:sz w:val="24"/>
                <w:szCs w:val="24"/>
              </w:rPr>
            </w:r>
          </w:p>
          <w:p>
            <w:pPr>
              <w:pStyle w:val="797"/>
              <w:pBdr/>
              <w:spacing/>
              <w:ind w:firstLine="482"/>
              <w:rPr>
                <w:color w:val="000000"/>
              </w:rPr>
            </w:pPr>
            <w:r>
              <w:rPr>
                <w:b/>
                <w:bCs/>
                <w:color w:val="000000"/>
                <w:sz w:val="24"/>
                <w:szCs w:val="24"/>
              </w:rPr>
              <w:t xml:space="preserve">10</w:t>
            </w:r>
            <w:r>
              <w:rPr>
                <w:rFonts w:hint="eastAsia"/>
                <w:b/>
                <w:bCs/>
                <w:color w:val="000000"/>
                <w:sz w:val="24"/>
                <w:szCs w:val="24"/>
              </w:rPr>
              <w:t xml:space="preserve">、</w:t>
            </w:r>
            <w:r>
              <w:rPr>
                <w:rFonts w:hint="eastAsia" w:cs="宋体"/>
                <w:b/>
                <w:bCs/>
                <w:color w:val="000000"/>
                <w:sz w:val="24"/>
                <w:szCs w:val="24"/>
              </w:rPr>
              <w:t xml:space="preserve">随州市城镇防洪工程及水毁修复工程。</w:t>
            </w:r>
            <w:r>
              <w:rPr>
                <w:rFonts w:hint="eastAsia" w:cs="宋体"/>
                <w:color w:val="000000"/>
                <w:sz w:val="24"/>
                <w:szCs w:val="24"/>
              </w:rPr>
              <w:t xml:space="preserve">主要包括广水市城市防洪工程、随县柳林镇防洪工程、曾都区洛阳镇防洪工程和随州市水毁修复工程等。</w:t>
            </w:r>
            <w:r>
              <w:rPr>
                <w:color w:val="000000"/>
              </w:rPr>
            </w:r>
            <w:r>
              <w:rPr>
                <w:color w:val="000000"/>
              </w:rPr>
            </w:r>
          </w:p>
        </w:tc>
      </w:tr>
    </w:tbl>
    <w:p>
      <w:pPr>
        <w:pStyle w:val="737"/>
        <w:pBdr/>
        <w:spacing/>
        <w:ind w:firstLine="640"/>
        <w:rPr>
          <w:rFonts w:hint="eastAsia"/>
          <w:color w:val="000000"/>
        </w:rPr>
      </w:pPr>
      <w:r>
        <w:rPr>
          <w:rFonts w:hint="eastAsia"/>
          <w:color w:val="000000"/>
        </w:rPr>
      </w:r>
      <w:r>
        <w:rPr>
          <w:rFonts w:hint="eastAsia"/>
          <w:color w:val="000000"/>
        </w:rPr>
      </w:r>
    </w:p>
    <w:p>
      <w:pPr>
        <w:pStyle w:val="739"/>
        <w:pBdr/>
        <w:spacing/>
        <w:ind w:firstLine="720"/>
        <w:rPr>
          <w:rFonts w:hint="eastAsia" w:ascii="黑体" w:hAnsi="黑体" w:eastAsia="黑体" w:cs="黑体"/>
          <w:b w:val="0"/>
          <w:bCs w:val="0"/>
          <w:color w:val="000000"/>
        </w:rPr>
      </w:pPr>
      <w:r/>
      <w:bookmarkStart w:id="70" w:name="_Toc14094"/>
      <w:r>
        <w:rPr>
          <w:rFonts w:hint="eastAsia" w:ascii="黑体" w:hAnsi="黑体" w:eastAsia="黑体" w:cs="黑体"/>
          <w:b w:val="0"/>
          <w:bCs w:val="0"/>
          <w:color w:val="000000"/>
        </w:rPr>
        <w:t xml:space="preserve">四、加快建设新型基础设施</w:t>
      </w:r>
      <w:bookmarkEnd w:id="70"/>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rFonts w:hint="eastAsia" w:cs="仿宋_GB2312"/>
          <w:color w:val="000000"/>
        </w:rPr>
      </w:pPr>
      <w:r>
        <w:rPr>
          <w:rFonts w:hint="eastAsia" w:cs="仿宋_GB2312"/>
          <w:color w:val="000000"/>
        </w:rPr>
        <w:t xml:space="preserve">加强5G基站布局规划，推进5G“多杆合一”建设，加强资源共享，逐步实现5G网络城乡全覆盖。加快5G商用步伐和IPv6规模部署，加强人工智能、工业互联网、物联网等新型基础设施建设和融合应用，统筹布局</w:t>
      </w:r>
      <w:r>
        <w:rPr>
          <w:rFonts w:hint="eastAsia" w:cs="仿宋_GB2312"/>
          <w:color w:val="000000"/>
        </w:rPr>
        <w:t xml:space="preserve">制造、交通、医疗、教育、消防安全、城市管理等重点领域5G应用，推进大数据产业园建设。推进随州（国家）工业互联网标识解析二级节点建设，面向应急产业和地铁装备，提供标识注册和解析服务。依托随州铁塔组建华中（随州）工业互联网运营中心，构建工业互联网开发及应用技术服务支撑平台和产业化推广平台。依托随州联通建设工业互联网研究院，加快推动互联网与随州市经济社会各项领域深入融合和创新发展。推广应用“数字随州”平台，利用物联网、云计算、区块链、视频监控等技术手段，建设智慧停车诱导系统。加快建设充电站（桩），大力推动全市范围</w:t>
      </w:r>
      <w:r>
        <w:rPr>
          <w:rFonts w:hint="eastAsia" w:cs="仿宋_GB2312"/>
          <w:color w:val="000000"/>
          <w:lang w:eastAsia="zh-CN"/>
        </w:rPr>
        <w:t xml:space="preserve">内</w:t>
      </w:r>
      <w:r>
        <w:rPr>
          <w:rFonts w:hint="eastAsia" w:cs="仿宋_GB2312"/>
          <w:color w:val="000000"/>
        </w:rPr>
        <w:t xml:space="preserve">公交车、出租车、网约车等实现“电动化+”，</w:t>
      </w:r>
      <w:r>
        <w:rPr>
          <w:rFonts w:hint="eastAsia" w:cs="仿宋_GB2312"/>
          <w:color w:val="000000"/>
          <w:lang w:eastAsia="zh-CN"/>
        </w:rPr>
        <w:t xml:space="preserve">促进</w:t>
      </w:r>
      <w:r>
        <w:rPr>
          <w:rFonts w:hint="eastAsia" w:cs="仿宋_GB2312"/>
          <w:color w:val="000000"/>
        </w:rPr>
        <w:t xml:space="preserve">车用能源转型，提高充电服务智能化水平。加快移动物联网网络建设，按需新增建设NB-IoT基站，推进县级以上城区实现普遍覆盖，面向室内、交通路网、地下管网、现代农业示范区等应用场景实现深度覆盖。</w:t>
      </w:r>
      <w:r>
        <w:rPr>
          <w:rFonts w:hint="eastAsia" w:cs="仿宋_GB2312"/>
          <w:color w:val="000000"/>
        </w:rPr>
      </w:r>
      <w:r>
        <w:rPr>
          <w:rFonts w:hint="eastAsia" w:cs="仿宋_GB2312"/>
          <w:color w:val="000000"/>
        </w:rPr>
      </w:r>
    </w:p>
    <w:tbl>
      <w:tblPr>
        <w:tblW w:w="0" w:type="auto"/>
        <w:tblInd w:w="-1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4A0" w:firstRow="1" w:lastRow="0" w:firstColumn="1" w:lastColumn="0" w:noHBand="0" w:noVBand="1"/>
      </w:tblPr>
      <w:tblGrid>
        <w:gridCol w:w="8834"/>
      </w:tblGrid>
      <w:tr>
        <w:trPr/>
        <w:tc>
          <w:tcPr>
            <w:tcBorders/>
            <w:tcW w:w="8834" w:type="dxa"/>
            <w:vAlign w:val="top"/>
            <w:textDirection w:val="lrTb"/>
            <w:noWrap w:val="false"/>
          </w:tcPr>
          <w:p>
            <w:pPr>
              <w:pStyle w:val="797"/>
              <w:pBdr/>
              <w:spacing/>
              <w:ind w:firstLine="562"/>
              <w:jc w:val="center"/>
              <w:rPr>
                <w:color w:val="000000"/>
              </w:rPr>
            </w:pPr>
            <w:r>
              <w:rPr>
                <w:rFonts w:hint="eastAsia" w:cs="宋体"/>
                <w:b/>
                <w:bCs/>
                <w:color w:val="000000"/>
                <w:sz w:val="28"/>
                <w:szCs w:val="28"/>
              </w:rPr>
              <w:t xml:space="preserve">专栏九：新基建重点项目</w:t>
            </w:r>
            <w:r>
              <w:rPr>
                <w:color w:val="000000"/>
              </w:rPr>
            </w:r>
            <w:r>
              <w:rPr>
                <w:color w:val="000000"/>
              </w:rPr>
            </w:r>
          </w:p>
        </w:tc>
      </w:tr>
      <w:tr>
        <w:trPr/>
        <w:tc>
          <w:tcPr>
            <w:tcBorders/>
            <w:tcW w:w="8834" w:type="dxa"/>
            <w:vAlign w:val="top"/>
            <w:textDirection w:val="lrTb"/>
            <w:noWrap w:val="false"/>
          </w:tcPr>
          <w:p>
            <w:pPr>
              <w:pStyle w:val="797"/>
              <w:pBdr/>
              <w:spacing/>
              <w:ind w:firstLine="482"/>
              <w:rPr>
                <w:color w:val="000000"/>
                <w:sz w:val="24"/>
                <w:szCs w:val="24"/>
              </w:rPr>
            </w:pPr>
            <w:r>
              <w:rPr>
                <w:rFonts w:hint="eastAsia"/>
                <w:b/>
                <w:bCs/>
                <w:color w:val="000000"/>
                <w:sz w:val="24"/>
                <w:szCs w:val="24"/>
                <w:lang w:val="en-US"/>
              </w:rPr>
              <w:t xml:space="preserve">1、</w:t>
            </w:r>
            <w:r>
              <w:rPr>
                <w:rFonts w:hint="eastAsia" w:cs="宋体"/>
                <w:b/>
                <w:bCs/>
                <w:color w:val="000000"/>
                <w:sz w:val="24"/>
                <w:szCs w:val="24"/>
              </w:rPr>
              <w:t xml:space="preserve">移动公司随州</w:t>
            </w:r>
            <w:r>
              <w:rPr>
                <w:b/>
                <w:bCs/>
                <w:color w:val="000000"/>
                <w:sz w:val="24"/>
                <w:szCs w:val="24"/>
              </w:rPr>
              <w:t xml:space="preserve">5G</w:t>
            </w:r>
            <w:r>
              <w:rPr>
                <w:rFonts w:hint="eastAsia" w:cs="宋体"/>
                <w:b/>
                <w:bCs/>
                <w:color w:val="000000"/>
                <w:sz w:val="24"/>
                <w:szCs w:val="24"/>
              </w:rPr>
              <w:t xml:space="preserve">二期及配套建设项目。</w:t>
            </w:r>
            <w:r>
              <w:rPr>
                <w:rFonts w:hint="eastAsia" w:cs="宋体"/>
                <w:color w:val="000000"/>
                <w:sz w:val="24"/>
                <w:szCs w:val="24"/>
              </w:rPr>
              <w:t xml:space="preserve">建设</w:t>
            </w:r>
            <w:r>
              <w:rPr>
                <w:color w:val="000000"/>
                <w:sz w:val="24"/>
                <w:szCs w:val="24"/>
              </w:rPr>
              <w:t xml:space="preserve">55</w:t>
            </w:r>
            <w:r>
              <w:rPr>
                <w:rFonts w:hint="eastAsia" w:cs="宋体"/>
                <w:color w:val="000000"/>
                <w:sz w:val="24"/>
                <w:szCs w:val="24"/>
              </w:rPr>
              <w:t xml:space="preserve">个</w:t>
            </w:r>
            <w:r>
              <w:rPr>
                <w:color w:val="000000"/>
                <w:sz w:val="24"/>
                <w:szCs w:val="24"/>
              </w:rPr>
              <w:t xml:space="preserve">CRAN</w:t>
            </w:r>
            <w:r>
              <w:rPr>
                <w:rFonts w:hint="eastAsia" w:cs="宋体"/>
                <w:color w:val="000000"/>
                <w:sz w:val="24"/>
                <w:szCs w:val="24"/>
              </w:rPr>
              <w:t xml:space="preserve">机房、</w:t>
            </w:r>
            <w:r>
              <w:rPr>
                <w:color w:val="000000"/>
                <w:sz w:val="24"/>
                <w:szCs w:val="24"/>
              </w:rPr>
              <w:t xml:space="preserve">328</w:t>
            </w:r>
            <w:r>
              <w:rPr>
                <w:rFonts w:hint="eastAsia" w:cs="宋体"/>
                <w:color w:val="000000"/>
                <w:sz w:val="24"/>
                <w:szCs w:val="24"/>
              </w:rPr>
              <w:t xml:space="preserve">段传输线路</w:t>
            </w:r>
            <w:r>
              <w:rPr>
                <w:rFonts w:hint="eastAsia" w:cs="宋体"/>
                <w:color w:val="000000"/>
                <w:sz w:val="24"/>
                <w:szCs w:val="24"/>
                <w:lang w:eastAsia="zh-CN"/>
              </w:rPr>
              <w:t xml:space="preserve">，以及</w:t>
            </w:r>
            <w:r>
              <w:rPr>
                <w:color w:val="000000"/>
                <w:sz w:val="24"/>
                <w:szCs w:val="24"/>
              </w:rPr>
              <w:t xml:space="preserve">5G</w:t>
            </w:r>
            <w:r>
              <w:rPr>
                <w:rFonts w:hint="eastAsia" w:cs="宋体"/>
                <w:color w:val="000000"/>
                <w:sz w:val="24"/>
                <w:szCs w:val="24"/>
              </w:rPr>
              <w:t xml:space="preserve">核心网、无线网</w:t>
            </w:r>
            <w:r>
              <w:rPr>
                <w:rFonts w:hint="eastAsia" w:cs="宋体"/>
                <w:color w:val="000000"/>
                <w:sz w:val="24"/>
                <w:szCs w:val="24"/>
                <w:lang w:eastAsia="zh-CN"/>
              </w:rPr>
              <w:t xml:space="preserve">等</w:t>
            </w:r>
            <w:r>
              <w:rPr>
                <w:rFonts w:hint="eastAsia" w:cs="宋体"/>
                <w:color w:val="000000"/>
                <w:sz w:val="24"/>
                <w:szCs w:val="24"/>
              </w:rPr>
              <w:t xml:space="preserve">；神农云扩容</w:t>
            </w:r>
            <w:r>
              <w:rPr>
                <w:color w:val="000000"/>
                <w:sz w:val="24"/>
                <w:szCs w:val="24"/>
              </w:rPr>
              <w:t xml:space="preserve">10</w:t>
            </w:r>
            <w:r>
              <w:rPr>
                <w:rFonts w:hint="eastAsia" w:cs="宋体"/>
                <w:color w:val="000000"/>
                <w:sz w:val="24"/>
                <w:szCs w:val="24"/>
              </w:rPr>
              <w:t xml:space="preserve">台物理服务器，</w:t>
            </w:r>
            <w:r>
              <w:rPr>
                <w:color w:val="000000"/>
                <w:sz w:val="24"/>
                <w:szCs w:val="24"/>
              </w:rPr>
              <w:t xml:space="preserve">1</w:t>
            </w:r>
            <w:r>
              <w:rPr>
                <w:rFonts w:hint="eastAsia" w:cs="宋体"/>
                <w:color w:val="000000"/>
                <w:sz w:val="24"/>
                <w:szCs w:val="24"/>
              </w:rPr>
              <w:t xml:space="preserve">套分布式存储等。</w:t>
            </w:r>
            <w:r>
              <w:rPr>
                <w:color w:val="000000"/>
                <w:sz w:val="24"/>
                <w:szCs w:val="24"/>
              </w:rPr>
            </w:r>
            <w:r>
              <w:rPr>
                <w:color w:val="000000"/>
                <w:sz w:val="24"/>
                <w:szCs w:val="24"/>
              </w:rPr>
            </w:r>
          </w:p>
          <w:p>
            <w:pPr>
              <w:pStyle w:val="797"/>
              <w:pBdr/>
              <w:spacing/>
              <w:ind w:firstLine="482"/>
              <w:rPr>
                <w:color w:val="000000"/>
                <w:sz w:val="24"/>
                <w:szCs w:val="24"/>
              </w:rPr>
            </w:pPr>
            <w:r>
              <w:rPr>
                <w:rFonts w:hint="eastAsia"/>
                <w:b/>
                <w:bCs/>
                <w:color w:val="000000"/>
                <w:sz w:val="24"/>
                <w:szCs w:val="24"/>
                <w:lang w:val="en-US"/>
              </w:rPr>
              <w:t xml:space="preserve">2、</w:t>
            </w:r>
            <w:r>
              <w:rPr>
                <w:rFonts w:hint="eastAsia" w:cs="宋体"/>
                <w:b/>
                <w:bCs/>
                <w:color w:val="000000"/>
                <w:sz w:val="24"/>
                <w:szCs w:val="24"/>
              </w:rPr>
              <w:t xml:space="preserve">随州市工业互联网平台项目。</w:t>
            </w:r>
            <w:r>
              <w:rPr>
                <w:rFonts w:hint="eastAsia" w:cs="宋体"/>
                <w:color w:val="000000"/>
                <w:sz w:val="24"/>
                <w:szCs w:val="24"/>
              </w:rPr>
              <w:t xml:space="preserve">以</w:t>
            </w:r>
            <w:r>
              <w:rPr>
                <w:color w:val="000000"/>
                <w:sz w:val="24"/>
                <w:szCs w:val="24"/>
              </w:rPr>
              <w:t xml:space="preserve">“</w:t>
            </w:r>
            <w:r>
              <w:rPr>
                <w:rFonts w:hint="eastAsia" w:cs="宋体"/>
                <w:color w:val="000000"/>
                <w:sz w:val="24"/>
                <w:szCs w:val="24"/>
              </w:rPr>
              <w:t xml:space="preserve">随州工业互联网创新研究院</w:t>
            </w:r>
            <w:r>
              <w:rPr>
                <w:color w:val="000000"/>
                <w:sz w:val="24"/>
                <w:szCs w:val="24"/>
              </w:rPr>
              <w:t xml:space="preserve">”</w:t>
            </w:r>
            <w:r>
              <w:rPr>
                <w:rFonts w:hint="eastAsia" w:cs="宋体"/>
                <w:color w:val="000000"/>
                <w:sz w:val="24"/>
                <w:szCs w:val="24"/>
              </w:rPr>
              <w:t xml:space="preserve">为新型运营模式，构建一流、区域特色的工业互联网平台，拟覆盖接入上云企业</w:t>
            </w:r>
            <w:r>
              <w:rPr>
                <w:color w:val="000000"/>
                <w:sz w:val="24"/>
                <w:szCs w:val="24"/>
              </w:rPr>
              <w:t xml:space="preserve">1200</w:t>
            </w:r>
            <w:r>
              <w:rPr>
                <w:rFonts w:hint="eastAsia" w:cs="宋体"/>
                <w:color w:val="000000"/>
                <w:sz w:val="24"/>
                <w:szCs w:val="24"/>
              </w:rPr>
              <w:t xml:space="preserve">多家，并启动一批应用示范工程。通过企业服务、数据采集、建模统计、生产成本分析、资源环境消耗等指数体系设计等，全面监控经济运行、结构调整、节能环保和智能制造发展情况及其趋势，定期发布结构改革与智能制造发展指数，推动随州市在工业领域的合理建设、统筹规划、精准管理等，构筑开放聚合的智能制造信息化技术服务平台。</w:t>
            </w:r>
            <w:r>
              <w:rPr>
                <w:color w:val="000000"/>
                <w:sz w:val="24"/>
                <w:szCs w:val="24"/>
              </w:rPr>
            </w:r>
            <w:r>
              <w:rPr>
                <w:color w:val="000000"/>
                <w:sz w:val="24"/>
                <w:szCs w:val="24"/>
              </w:rPr>
            </w:r>
          </w:p>
          <w:p>
            <w:pPr>
              <w:pStyle w:val="797"/>
              <w:pBdr/>
              <w:spacing/>
              <w:ind w:firstLine="482"/>
              <w:rPr>
                <w:color w:val="000000"/>
                <w:sz w:val="24"/>
                <w:szCs w:val="24"/>
              </w:rPr>
            </w:pPr>
            <w:r>
              <w:rPr>
                <w:rFonts w:hint="eastAsia"/>
                <w:b/>
                <w:bCs/>
                <w:color w:val="000000"/>
                <w:sz w:val="24"/>
                <w:szCs w:val="24"/>
                <w:lang w:val="en-US"/>
              </w:rPr>
              <w:t xml:space="preserve">3、</w:t>
            </w:r>
            <w:r>
              <w:rPr>
                <w:rFonts w:hint="eastAsia" w:cs="宋体"/>
                <w:b/>
                <w:bCs/>
                <w:color w:val="000000"/>
                <w:sz w:val="24"/>
                <w:szCs w:val="24"/>
              </w:rPr>
              <w:t xml:space="preserve">随州市城市智慧停车场建设项目。</w:t>
            </w:r>
            <w:r>
              <w:rPr>
                <w:rFonts w:hint="eastAsia" w:cs="宋体"/>
                <w:color w:val="000000"/>
                <w:sz w:val="24"/>
                <w:szCs w:val="24"/>
              </w:rPr>
              <w:t xml:space="preserve">建设</w:t>
            </w:r>
            <w:r>
              <w:rPr>
                <w:color w:val="000000"/>
                <w:sz w:val="24"/>
                <w:szCs w:val="24"/>
              </w:rPr>
              <w:t xml:space="preserve">1.51</w:t>
            </w:r>
            <w:r>
              <w:rPr>
                <w:rFonts w:hint="eastAsia" w:cs="宋体"/>
                <w:color w:val="000000"/>
                <w:sz w:val="24"/>
                <w:szCs w:val="24"/>
              </w:rPr>
              <w:t xml:space="preserve">万平方米立体停车库，安装道路智慧停车系统软硬件、城区停车诱导系统及配套设施</w:t>
            </w:r>
            <w:r>
              <w:rPr>
                <w:rFonts w:hint="eastAsia" w:cs="宋体"/>
                <w:color w:val="000000"/>
                <w:sz w:val="24"/>
                <w:szCs w:val="24"/>
                <w:lang w:eastAsia="zh-CN"/>
              </w:rPr>
              <w:t xml:space="preserve">，建成</w:t>
            </w:r>
            <w:r>
              <w:rPr>
                <w:color w:val="000000"/>
                <w:sz w:val="24"/>
                <w:szCs w:val="24"/>
              </w:rPr>
              <w:t xml:space="preserve">10623</w:t>
            </w:r>
            <w:r>
              <w:rPr>
                <w:rFonts w:hint="eastAsia" w:cs="宋体"/>
                <w:color w:val="000000"/>
                <w:sz w:val="24"/>
                <w:szCs w:val="24"/>
              </w:rPr>
              <w:t xml:space="preserve">个公共停车位（含</w:t>
            </w:r>
            <w:r>
              <w:rPr>
                <w:color w:val="000000"/>
                <w:sz w:val="24"/>
                <w:szCs w:val="24"/>
              </w:rPr>
              <w:t xml:space="preserve">110</w:t>
            </w:r>
            <w:r>
              <w:rPr>
                <w:rFonts w:hint="eastAsia" w:cs="宋体"/>
                <w:color w:val="000000"/>
                <w:sz w:val="24"/>
                <w:szCs w:val="24"/>
              </w:rPr>
              <w:t xml:space="preserve">个充电桩）。</w:t>
            </w:r>
            <w:r>
              <w:rPr>
                <w:color w:val="000000"/>
                <w:sz w:val="24"/>
                <w:szCs w:val="24"/>
              </w:rPr>
            </w:r>
            <w:r>
              <w:rPr>
                <w:color w:val="000000"/>
                <w:sz w:val="24"/>
                <w:szCs w:val="24"/>
              </w:rPr>
            </w:r>
          </w:p>
          <w:p>
            <w:pPr>
              <w:pStyle w:val="797"/>
              <w:pBdr/>
              <w:spacing/>
              <w:ind w:firstLine="482"/>
              <w:rPr>
                <w:color w:val="000000"/>
                <w:sz w:val="24"/>
                <w:szCs w:val="24"/>
              </w:rPr>
            </w:pPr>
            <w:r>
              <w:rPr>
                <w:rFonts w:hint="eastAsia"/>
                <w:b/>
                <w:bCs/>
                <w:color w:val="000000"/>
                <w:sz w:val="24"/>
                <w:szCs w:val="24"/>
                <w:lang w:val="en-US"/>
              </w:rPr>
              <w:t xml:space="preserve">4、</w:t>
            </w:r>
            <w:r>
              <w:rPr>
                <w:rFonts w:hint="eastAsia" w:cs="宋体"/>
                <w:b/>
                <w:bCs/>
                <w:color w:val="000000"/>
                <w:sz w:val="24"/>
                <w:szCs w:val="24"/>
              </w:rPr>
              <w:t xml:space="preserve">国家华中（随州）大数据产业园。</w:t>
            </w:r>
            <w:r>
              <w:rPr>
                <w:rFonts w:hint="eastAsia" w:cs="宋体"/>
                <w:color w:val="000000"/>
                <w:sz w:val="24"/>
                <w:szCs w:val="24"/>
              </w:rPr>
              <w:t xml:space="preserve">项目用地共</w:t>
            </w:r>
            <w:r>
              <w:rPr>
                <w:color w:val="000000"/>
                <w:sz w:val="24"/>
                <w:szCs w:val="24"/>
              </w:rPr>
              <w:t xml:space="preserve">500</w:t>
            </w:r>
            <w:r>
              <w:rPr>
                <w:rFonts w:hint="eastAsia" w:cs="宋体"/>
                <w:color w:val="000000"/>
                <w:sz w:val="24"/>
                <w:szCs w:val="24"/>
              </w:rPr>
              <w:t xml:space="preserve">亩，建设</w:t>
            </w:r>
            <w:r>
              <w:rPr>
                <w:color w:val="000000"/>
                <w:sz w:val="24"/>
                <w:szCs w:val="24"/>
              </w:rPr>
              <w:t xml:space="preserve">2000</w:t>
            </w:r>
            <w:r>
              <w:rPr>
                <w:rFonts w:hint="eastAsia" w:cs="宋体"/>
                <w:color w:val="000000"/>
                <w:sz w:val="24"/>
                <w:szCs w:val="24"/>
              </w:rPr>
              <w:t xml:space="preserve">个服务器机柜装机容量，建成产业园算力中心、科研中心和生活中心，规划建设</w:t>
            </w:r>
            <w:r>
              <w:rPr>
                <w:color w:val="000000"/>
                <w:sz w:val="24"/>
                <w:szCs w:val="24"/>
              </w:rPr>
              <w:t xml:space="preserve">5G</w:t>
            </w:r>
            <w:r>
              <w:rPr>
                <w:rFonts w:hint="eastAsia" w:cs="宋体"/>
                <w:color w:val="000000"/>
                <w:sz w:val="24"/>
                <w:szCs w:val="24"/>
              </w:rPr>
              <w:t xml:space="preserve">专用汽车智能网联试车场</w:t>
            </w:r>
            <w:r>
              <w:rPr>
                <w:rFonts w:hint="eastAsia" w:cs="宋体"/>
                <w:color w:val="000000"/>
                <w:sz w:val="24"/>
                <w:szCs w:val="24"/>
                <w:lang w:eastAsia="zh-CN"/>
              </w:rPr>
              <w:t xml:space="preserve">、</w:t>
            </w:r>
            <w:r>
              <w:rPr>
                <w:rFonts w:hint="eastAsia" w:cs="宋体"/>
                <w:color w:val="000000"/>
                <w:sz w:val="24"/>
                <w:szCs w:val="24"/>
              </w:rPr>
              <w:t xml:space="preserve">产业培训大楼等。</w:t>
            </w:r>
            <w:r>
              <w:rPr>
                <w:color w:val="000000"/>
                <w:sz w:val="24"/>
                <w:szCs w:val="24"/>
              </w:rPr>
            </w:r>
            <w:r>
              <w:rPr>
                <w:color w:val="000000"/>
                <w:sz w:val="24"/>
                <w:szCs w:val="24"/>
              </w:rPr>
            </w:r>
          </w:p>
          <w:p>
            <w:pPr>
              <w:pStyle w:val="797"/>
              <w:pBdr/>
              <w:spacing/>
              <w:ind w:firstLine="482"/>
              <w:rPr>
                <w:color w:val="000000"/>
                <w:sz w:val="24"/>
                <w:szCs w:val="24"/>
              </w:rPr>
            </w:pPr>
            <w:r>
              <w:rPr>
                <w:rFonts w:hint="eastAsia"/>
                <w:b/>
                <w:bCs/>
                <w:color w:val="000000"/>
                <w:sz w:val="24"/>
                <w:szCs w:val="24"/>
                <w:lang w:val="en-US"/>
              </w:rPr>
              <w:t xml:space="preserve">5、</w:t>
            </w:r>
            <w:r>
              <w:rPr>
                <w:rFonts w:hint="eastAsia" w:cs="宋体"/>
                <w:b/>
                <w:bCs/>
                <w:color w:val="000000"/>
                <w:sz w:val="24"/>
                <w:szCs w:val="24"/>
              </w:rPr>
              <w:t xml:space="preserve">随州市区域医疗数字一体化平台。</w:t>
            </w:r>
            <w:r>
              <w:rPr>
                <w:rFonts w:hint="eastAsia" w:cs="宋体"/>
                <w:color w:val="000000"/>
                <w:sz w:val="24"/>
                <w:szCs w:val="24"/>
              </w:rPr>
              <w:t xml:space="preserve">建设互联网医院、区域医疗数据中心、一体化大数据应用平台、网络安全防护体系等。</w:t>
            </w:r>
            <w:r>
              <w:rPr>
                <w:color w:val="000000"/>
                <w:sz w:val="24"/>
                <w:szCs w:val="24"/>
              </w:rPr>
            </w:r>
            <w:r>
              <w:rPr>
                <w:color w:val="000000"/>
                <w:sz w:val="24"/>
                <w:szCs w:val="24"/>
              </w:rPr>
            </w:r>
          </w:p>
          <w:p>
            <w:pPr>
              <w:pStyle w:val="797"/>
              <w:pBdr/>
              <w:spacing/>
              <w:ind w:firstLine="482"/>
              <w:rPr>
                <w:color w:val="000000"/>
                <w:sz w:val="24"/>
                <w:szCs w:val="24"/>
              </w:rPr>
            </w:pPr>
            <w:r>
              <w:rPr>
                <w:rFonts w:hint="eastAsia"/>
                <w:b/>
                <w:bCs/>
                <w:color w:val="000000"/>
                <w:sz w:val="24"/>
                <w:szCs w:val="24"/>
                <w:lang w:val="en-US"/>
              </w:rPr>
              <w:t xml:space="preserve">6、</w:t>
            </w:r>
            <w:r>
              <w:rPr>
                <w:rFonts w:hint="eastAsia" w:cs="宋体"/>
                <w:b/>
                <w:bCs/>
                <w:color w:val="000000"/>
                <w:sz w:val="24"/>
                <w:szCs w:val="24"/>
              </w:rPr>
              <w:t xml:space="preserve">随州市城区</w:t>
            </w:r>
            <w:r>
              <w:rPr>
                <w:b/>
                <w:bCs/>
                <w:color w:val="000000"/>
                <w:sz w:val="24"/>
                <w:szCs w:val="24"/>
              </w:rPr>
              <w:t xml:space="preserve">“</w:t>
            </w:r>
            <w:r>
              <w:rPr>
                <w:rFonts w:hint="eastAsia" w:cs="宋体"/>
                <w:b/>
                <w:bCs/>
                <w:color w:val="000000"/>
                <w:sz w:val="24"/>
                <w:szCs w:val="24"/>
              </w:rPr>
              <w:t xml:space="preserve">雪亮工程</w:t>
            </w:r>
            <w:r>
              <w:rPr>
                <w:b/>
                <w:bCs/>
                <w:color w:val="000000"/>
                <w:sz w:val="24"/>
                <w:szCs w:val="24"/>
              </w:rPr>
              <w:t xml:space="preserve">”</w:t>
            </w:r>
            <w:r>
              <w:rPr>
                <w:rFonts w:hint="eastAsia" w:cs="宋体"/>
                <w:b/>
                <w:bCs/>
                <w:color w:val="000000"/>
                <w:sz w:val="24"/>
                <w:szCs w:val="24"/>
              </w:rPr>
              <w:t xml:space="preserve">建设项目。</w:t>
            </w:r>
            <w:r>
              <w:rPr>
                <w:rFonts w:hint="eastAsia" w:cs="宋体"/>
                <w:color w:val="000000"/>
                <w:sz w:val="24"/>
                <w:szCs w:val="24"/>
              </w:rPr>
              <w:t xml:space="preserve">建设智慧小区、智慧校园、村组技防以及视频解析大数据综合应用。</w:t>
            </w:r>
            <w:r>
              <w:rPr>
                <w:color w:val="000000"/>
                <w:sz w:val="24"/>
                <w:szCs w:val="24"/>
              </w:rPr>
            </w:r>
            <w:r>
              <w:rPr>
                <w:color w:val="000000"/>
                <w:sz w:val="24"/>
                <w:szCs w:val="24"/>
              </w:rPr>
            </w:r>
          </w:p>
          <w:p>
            <w:pPr>
              <w:pStyle w:val="797"/>
              <w:pBdr/>
              <w:spacing/>
              <w:ind w:firstLine="482"/>
              <w:rPr>
                <w:color w:val="000000"/>
              </w:rPr>
            </w:pPr>
            <w:r>
              <w:rPr>
                <w:rFonts w:hint="eastAsia"/>
                <w:b/>
                <w:bCs/>
                <w:color w:val="000000"/>
                <w:sz w:val="24"/>
                <w:szCs w:val="24"/>
                <w:lang w:val="en-US"/>
              </w:rPr>
              <w:t xml:space="preserve">7、</w:t>
            </w:r>
            <w:r>
              <w:rPr>
                <w:rFonts w:hint="eastAsia" w:cs="宋体"/>
                <w:b/>
                <w:bCs/>
                <w:color w:val="000000"/>
                <w:sz w:val="24"/>
                <w:szCs w:val="24"/>
              </w:rPr>
              <w:t xml:space="preserve">泰晶科技基于半导体工艺的高基频小尺寸石英晶片产业化项目。</w:t>
            </w:r>
            <w:r>
              <w:rPr>
                <w:rFonts w:hint="eastAsia" w:cs="宋体"/>
                <w:color w:val="000000"/>
                <w:sz w:val="24"/>
                <w:szCs w:val="24"/>
              </w:rPr>
              <w:t xml:space="preserve">改造厂房</w:t>
            </w:r>
            <w:r>
              <w:rPr>
                <w:color w:val="000000"/>
                <w:sz w:val="24"/>
                <w:szCs w:val="24"/>
              </w:rPr>
              <w:t xml:space="preserve">2</w:t>
            </w:r>
            <w:r>
              <w:rPr>
                <w:rFonts w:hint="eastAsia"/>
                <w:color w:val="000000"/>
                <w:sz w:val="24"/>
                <w:szCs w:val="24"/>
              </w:rPr>
              <w:t xml:space="preserve">万</w:t>
            </w:r>
            <w:r>
              <w:rPr>
                <w:rFonts w:hint="eastAsia" w:cs="宋体"/>
                <w:color w:val="000000"/>
                <w:sz w:val="24"/>
                <w:szCs w:val="24"/>
              </w:rPr>
              <w:t xml:space="preserve">平方米，购买和自主研发设备</w:t>
            </w:r>
            <w:r>
              <w:rPr>
                <w:color w:val="000000"/>
                <w:sz w:val="24"/>
                <w:szCs w:val="24"/>
              </w:rPr>
              <w:t xml:space="preserve">328</w:t>
            </w:r>
            <w:r>
              <w:rPr>
                <w:rFonts w:hint="eastAsia" w:cs="宋体"/>
                <w:color w:val="000000"/>
                <w:sz w:val="24"/>
                <w:szCs w:val="24"/>
              </w:rPr>
              <w:t xml:space="preserve">台套及相关配套设施。</w:t>
            </w:r>
            <w:r>
              <w:rPr>
                <w:color w:val="000000"/>
              </w:rPr>
            </w:r>
            <w:r>
              <w:rPr>
                <w:color w:val="000000"/>
              </w:rPr>
            </w:r>
          </w:p>
        </w:tc>
      </w:tr>
    </w:tbl>
    <w:p>
      <w:pPr>
        <w:pStyle w:val="738"/>
        <w:pBdr/>
        <w:spacing/>
        <w:ind/>
        <w:rPr>
          <w:rFonts w:hint="eastAsia" w:ascii="方正小标宋简体" w:eastAsia="方正小标宋简体" w:cs="方正小标宋简体"/>
          <w:b w:val="0"/>
          <w:bCs w:val="0"/>
          <w:color w:val="000000"/>
          <w:sz w:val="36"/>
          <w:szCs w:val="36"/>
        </w:rPr>
      </w:pPr>
      <w:r>
        <w:rPr>
          <w:rFonts w:hint="eastAsia" w:ascii="方正小标宋简体" w:eastAsia="方正小标宋简体" w:cs="方正小标宋简体"/>
          <w:b w:val="0"/>
          <w:bCs w:val="0"/>
          <w:color w:val="000000"/>
          <w:sz w:val="36"/>
          <w:szCs w:val="36"/>
        </w:rPr>
      </w:r>
      <w:r>
        <w:rPr>
          <w:rFonts w:hint="eastAsia" w:ascii="方正小标宋简体" w:eastAsia="方正小标宋简体" w:cs="方正小标宋简体"/>
          <w:b w:val="0"/>
          <w:bCs w:val="0"/>
          <w:color w:val="000000"/>
          <w:sz w:val="36"/>
          <w:szCs w:val="36"/>
        </w:rPr>
      </w:r>
    </w:p>
    <w:p>
      <w:pPr>
        <w:pStyle w:val="738"/>
        <w:pBdr/>
        <w:spacing/>
        <w:ind/>
        <w:rPr>
          <w:rFonts w:hint="eastAsia" w:ascii="方正小标宋简体" w:eastAsia="方正小标宋简体" w:cs="方正小标宋简体"/>
          <w:b w:val="0"/>
          <w:bCs w:val="0"/>
          <w:color w:val="000000"/>
          <w:sz w:val="36"/>
          <w:szCs w:val="36"/>
        </w:rPr>
      </w:pPr>
      <w:r>
        <w:rPr>
          <w:rFonts w:hint="eastAsia" w:ascii="方正小标宋简体" w:eastAsia="方正小标宋简体" w:cs="方正小标宋简体"/>
          <w:b w:val="0"/>
          <w:bCs w:val="0"/>
          <w:color w:val="000000"/>
          <w:sz w:val="36"/>
          <w:szCs w:val="36"/>
        </w:rPr>
      </w:r>
      <w:r>
        <w:rPr>
          <w:rFonts w:hint="eastAsia" w:ascii="方正小标宋简体" w:eastAsia="方正小标宋简体" w:cs="方正小标宋简体"/>
          <w:b w:val="0"/>
          <w:bCs w:val="0"/>
          <w:color w:val="000000"/>
          <w:sz w:val="36"/>
          <w:szCs w:val="36"/>
        </w:rPr>
      </w:r>
    </w:p>
    <w:p>
      <w:pPr>
        <w:pStyle w:val="737"/>
        <w:pBdr/>
        <w:spacing/>
        <w:ind w:firstLine="723"/>
        <w:rPr>
          <w:rFonts w:hint="eastAsia" w:ascii="方正小标宋简体" w:eastAsia="方正小标宋简体" w:cs="方正小标宋简体"/>
          <w:b/>
          <w:bCs/>
          <w:color w:val="000000"/>
          <w:sz w:val="36"/>
          <w:szCs w:val="36"/>
        </w:rPr>
      </w:pPr>
      <w:r>
        <w:rPr>
          <w:rFonts w:hint="eastAsia" w:ascii="方正小标宋简体" w:eastAsia="方正小标宋简体" w:cs="方正小标宋简体"/>
          <w:b/>
          <w:bCs/>
          <w:color w:val="000000"/>
          <w:sz w:val="36"/>
          <w:szCs w:val="36"/>
        </w:rPr>
      </w:r>
      <w:r>
        <w:rPr>
          <w:rFonts w:hint="eastAsia" w:ascii="方正小标宋简体" w:eastAsia="方正小标宋简体" w:cs="方正小标宋简体"/>
          <w:b/>
          <w:bCs/>
          <w:color w:val="000000"/>
          <w:sz w:val="36"/>
          <w:szCs w:val="36"/>
        </w:rPr>
      </w:r>
    </w:p>
    <w:p>
      <w:pPr>
        <w:pStyle w:val="738"/>
        <w:pBdr/>
        <w:spacing/>
        <w:ind/>
        <w:rPr>
          <w:rFonts w:hint="eastAsia" w:ascii="方正小标宋简体" w:eastAsia="方正小标宋简体" w:cs="方正小标宋简体"/>
          <w:color w:val="000000"/>
          <w:sz w:val="36"/>
          <w:szCs w:val="36"/>
        </w:rPr>
      </w:pPr>
      <w:r/>
      <w:bookmarkStart w:id="71" w:name="_Toc29417"/>
      <w:r>
        <w:rPr>
          <w:rFonts w:hint="eastAsia" w:ascii="方正小标宋简体" w:eastAsia="方正小标宋简体" w:cs="方正小标宋简体"/>
          <w:color w:val="000000"/>
          <w:sz w:val="36"/>
          <w:szCs w:val="36"/>
        </w:rPr>
      </w:r>
      <w:r>
        <w:rPr>
          <w:rFonts w:hint="eastAsia" w:ascii="方正小标宋简体" w:eastAsia="方正小标宋简体" w:cs="方正小标宋简体"/>
          <w:color w:val="000000"/>
          <w:sz w:val="36"/>
          <w:szCs w:val="36"/>
        </w:rPr>
      </w:r>
    </w:p>
    <w:p>
      <w:pPr>
        <w:pStyle w:val="737"/>
        <w:pBdr/>
        <w:spacing/>
        <w:ind w:firstLine="640"/>
        <w:rPr>
          <w:rFonts w:hint="eastAsia"/>
        </w:rPr>
      </w:pPr>
      <w:r>
        <w:rPr>
          <w:rFonts w:hint="eastAsia"/>
        </w:rPr>
      </w:r>
      <w:r>
        <w:rPr>
          <w:rFonts w:hint="eastAsia"/>
        </w:rPr>
      </w:r>
    </w:p>
    <w:p>
      <w:pPr>
        <w:pStyle w:val="738"/>
        <w:pBdr/>
        <w:spacing/>
        <w:ind/>
        <w:rPr>
          <w:rFonts w:hint="eastAsia" w:ascii="方正小标宋简体" w:eastAsia="方正小标宋简体" w:cs="方正小标宋简体"/>
          <w:b w:val="0"/>
          <w:bCs w:val="0"/>
          <w:color w:val="000000"/>
          <w:sz w:val="36"/>
          <w:szCs w:val="36"/>
        </w:rPr>
      </w:pPr>
      <w:r>
        <w:rPr>
          <w:rFonts w:hint="eastAsia" w:ascii="方正小标宋简体" w:eastAsia="方正小标宋简体" w:cs="方正小标宋简体"/>
          <w:b w:val="0"/>
          <w:bCs w:val="0"/>
          <w:color w:val="000000"/>
          <w:sz w:val="36"/>
          <w:szCs w:val="36"/>
        </w:rPr>
        <w:t xml:space="preserve">第十一章 践行绿色发展理念</w:t>
      </w:r>
      <w:r>
        <w:rPr>
          <w:rFonts w:hint="eastAsia" w:ascii="方正小标宋简体" w:eastAsia="方正小标宋简体" w:cs="方正小标宋简体"/>
          <w:b w:val="0"/>
          <w:bCs w:val="0"/>
          <w:color w:val="000000"/>
          <w:sz w:val="36"/>
          <w:szCs w:val="36"/>
          <w:lang w:val="en-US"/>
        </w:rPr>
        <w:t xml:space="preserve"> </w:t>
      </w:r>
      <w:r>
        <w:rPr>
          <w:rFonts w:hint="eastAsia" w:ascii="方正小标宋简体" w:eastAsia="方正小标宋简体" w:cs="方正小标宋简体"/>
          <w:b w:val="0"/>
          <w:bCs w:val="0"/>
          <w:color w:val="000000"/>
          <w:sz w:val="36"/>
          <w:szCs w:val="36"/>
        </w:rPr>
        <w:t xml:space="preserve">建设生态宜居美丽随州</w:t>
      </w:r>
      <w:bookmarkEnd w:id="71"/>
      <w:r>
        <w:rPr>
          <w:rFonts w:hint="eastAsia" w:ascii="方正小标宋简体" w:eastAsia="方正小标宋简体" w:cs="方正小标宋简体"/>
          <w:b w:val="0"/>
          <w:bCs w:val="0"/>
          <w:color w:val="000000"/>
          <w:sz w:val="36"/>
          <w:szCs w:val="36"/>
        </w:rPr>
      </w:r>
      <w:r>
        <w:rPr>
          <w:rFonts w:hint="eastAsia" w:ascii="方正小标宋简体" w:eastAsia="方正小标宋简体" w:cs="方正小标宋简体"/>
          <w:b w:val="0"/>
          <w:bCs w:val="0"/>
          <w:color w:val="000000"/>
          <w:sz w:val="36"/>
          <w:szCs w:val="36"/>
        </w:rPr>
      </w:r>
    </w:p>
    <w:p>
      <w:pPr>
        <w:pStyle w:val="737"/>
        <w:pBdr/>
        <w:spacing/>
        <w:ind w:firstLine="640"/>
        <w:rPr>
          <w:color w:val="000000"/>
        </w:rPr>
      </w:pPr>
      <w:r>
        <w:rPr>
          <w:color w:val="000000"/>
        </w:rPr>
      </w:r>
      <w:r>
        <w:rPr>
          <w:color w:val="000000"/>
        </w:rPr>
      </w:r>
    </w:p>
    <w:p>
      <w:pPr>
        <w:pStyle w:val="737"/>
        <w:pBdr/>
        <w:spacing/>
        <w:ind w:firstLine="640"/>
        <w:rPr>
          <w:rFonts w:hint="eastAsia"/>
          <w:color w:val="000000"/>
        </w:rPr>
      </w:pPr>
      <w:r>
        <w:rPr>
          <w:rFonts w:hint="eastAsia" w:cs="仿宋_GB2312"/>
          <w:color w:val="000000"/>
        </w:rPr>
        <w:t xml:space="preserve">深入践行习近平生态文明思想，坚持“生态优先、绿色发展”，强化国土空间规划和用途管制，落实生态保护、永久基本农田、城镇开发等空间管控边界，</w:t>
      </w:r>
      <w:r>
        <w:rPr>
          <w:rFonts w:hint="eastAsia"/>
          <w:color w:val="000000"/>
        </w:rPr>
        <w:t xml:space="preserve">注重生态修复、环境保护、绿色发展的系统性、整体性、协同性，促进经济社会发展全面绿色转型，</w:t>
      </w:r>
      <w:r>
        <w:rPr>
          <w:rFonts w:hint="eastAsia"/>
          <w:color w:val="000000"/>
          <w:lang w:eastAsia="zh-CN"/>
        </w:rPr>
        <w:t xml:space="preserve">实现</w:t>
      </w:r>
      <w:r>
        <w:rPr>
          <w:rFonts w:hint="eastAsia"/>
          <w:color w:val="000000"/>
        </w:rPr>
        <w:t xml:space="preserve">生产、生态、生活空间平衡协调。</w:t>
      </w:r>
      <w:r>
        <w:rPr>
          <w:rFonts w:hint="eastAsia"/>
          <w:color w:val="000000"/>
        </w:rPr>
      </w:r>
      <w:r>
        <w:rPr>
          <w:rFonts w:hint="eastAsia"/>
          <w:color w:val="000000"/>
        </w:rPr>
      </w:r>
    </w:p>
    <w:p>
      <w:pPr>
        <w:pStyle w:val="737"/>
        <w:pBdr/>
        <w:spacing/>
        <w:ind w:firstLine="640"/>
        <w:rPr>
          <w:rFonts w:hint="eastAsia"/>
          <w:color w:val="000000"/>
        </w:rPr>
      </w:pPr>
      <w:r>
        <w:rPr>
          <w:rFonts w:hint="eastAsia"/>
          <w:color w:val="000000"/>
        </w:rPr>
      </w:r>
      <w:r>
        <w:rPr>
          <w:rFonts w:hint="eastAsia"/>
          <w:color w:val="000000"/>
        </w:rPr>
      </w:r>
    </w:p>
    <w:p>
      <w:pPr>
        <w:pStyle w:val="739"/>
        <w:pBdr/>
        <w:spacing/>
        <w:ind w:firstLine="720"/>
        <w:rPr>
          <w:rFonts w:hint="eastAsia" w:ascii="黑体" w:hAnsi="黑体" w:eastAsia="黑体" w:cs="黑体"/>
          <w:b w:val="0"/>
          <w:bCs w:val="0"/>
          <w:color w:val="000000"/>
        </w:rPr>
      </w:pPr>
      <w:r/>
      <w:bookmarkStart w:id="72" w:name="_Toc13187"/>
      <w:r>
        <w:rPr>
          <w:rFonts w:hint="eastAsia" w:ascii="黑体" w:hAnsi="黑体" w:eastAsia="黑体" w:cs="黑体"/>
          <w:b w:val="0"/>
          <w:bCs w:val="0"/>
          <w:color w:val="000000"/>
        </w:rPr>
        <w:t xml:space="preserve">一、</w:t>
      </w:r>
      <w:bookmarkStart w:id="73" w:name="_Hlk56160855"/>
      <w:r>
        <w:rPr>
          <w:rFonts w:hint="eastAsia" w:ascii="黑体" w:hAnsi="黑体" w:eastAsia="黑体" w:cs="黑体"/>
          <w:b w:val="0"/>
          <w:bCs w:val="0"/>
          <w:color w:val="000000"/>
        </w:rPr>
        <w:t xml:space="preserve">加快建设鄂北生态屏障</w:t>
      </w:r>
      <w:bookmarkEnd w:id="72"/>
      <w:r/>
      <w:bookmarkEnd w:id="73"/>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构建长江大保护长效机制。</w:t>
      </w:r>
      <w:r>
        <w:rPr>
          <w:rFonts w:hint="eastAsia" w:cs="仿宋_GB2312"/>
          <w:color w:val="000000"/>
        </w:rPr>
        <w:t xml:space="preserve">坚持共抓大保护、不搞大开发，坚决打好十大标志性战役，当好长江大保护生力军。健全河流休养生息制度，实施重要河流禁捕退捕。实施沿河污染企业“关改搬转治绿”行动，促进安全环保达标升级，推动化工企业实现入园集群发展。强化工业、农业、生活污染管控，建立健全入河排污口监管长效机制，巩固非法采砂治理成果，抓好河道沿线“留白”“留绿”和功能恢复。建立健全河流生态用水保障机制，保证重要断面的生态流量，维护流域生态平衡。推动建立府</w:t>
      </w:r>
      <w:r>
        <w:rPr>
          <w:rFonts w:hint="eastAsia" w:ascii="宋体" w:hAnsi="宋体" w:eastAsia="宋体" w:cs="仿宋_GB2312"/>
          <w:color w:val="000000"/>
        </w:rPr>
        <w:t xml:space="preserve">澴</w:t>
      </w:r>
      <w:r>
        <w:rPr>
          <w:rFonts w:hint="eastAsia" w:cs="仿宋_GB2312"/>
          <w:color w:val="000000"/>
        </w:rPr>
        <w:t xml:space="preserve">河、淮河流域跨区域协商合作机制，提升区域共治能力。</w:t>
      </w:r>
      <w:r>
        <w:rPr>
          <w:rFonts w:hint="eastAsia" w:cs="仿宋_GB2312"/>
          <w:color w:val="000000"/>
        </w:rPr>
      </w:r>
      <w:r>
        <w:rPr>
          <w:rFonts w:hint="eastAsia" w:cs="仿宋_GB2312"/>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持续开展“绿满随州”行动</w:t>
      </w:r>
      <w:r>
        <w:rPr>
          <w:rFonts w:hint="eastAsia" w:cs="仿宋_GB2312"/>
          <w:b/>
          <w:bCs/>
          <w:color w:val="000000"/>
        </w:rPr>
        <w:t xml:space="preserve">。</w:t>
      </w:r>
      <w:r>
        <w:rPr>
          <w:rFonts w:hint="eastAsia" w:cs="仿宋_GB2312"/>
          <w:color w:val="000000"/>
        </w:rPr>
        <w:t xml:space="preserve">统筹山水林田湖草一体化保护和修复，依托</w:t>
      </w:r>
      <w:r>
        <w:rPr>
          <w:color w:val="000000"/>
        </w:rPr>
        <w:t xml:space="preserve">“</w:t>
      </w:r>
      <w:r>
        <w:rPr>
          <w:rFonts w:hint="eastAsia" w:cs="仿宋_GB2312"/>
          <w:color w:val="000000"/>
        </w:rPr>
        <w:t xml:space="preserve">三山七水</w:t>
      </w:r>
      <w:r>
        <w:rPr>
          <w:color w:val="000000"/>
        </w:rPr>
        <w:t xml:space="preserve">”</w:t>
      </w:r>
      <w:r>
        <w:rPr>
          <w:rFonts w:hint="eastAsia" w:cs="仿宋_GB2312"/>
          <w:color w:val="000000"/>
        </w:rPr>
        <w:t xml:space="preserve">（大别山、桐柏山、大洪山；府</w:t>
      </w:r>
      <w:r>
        <w:rPr>
          <w:rFonts w:hint="eastAsia" w:ascii="宋体" w:hAnsi="宋体" w:eastAsia="宋体" w:cs="宋体"/>
          <w:color w:val="000000"/>
        </w:rPr>
        <w:t xml:space="preserve">澴</w:t>
      </w:r>
      <w:r>
        <w:rPr>
          <w:rFonts w:hint="eastAsia" w:cs="仿宋_GB2312"/>
          <w:color w:val="000000"/>
        </w:rPr>
        <w:t xml:space="preserve">河、淮河、</w:t>
      </w:r>
      <w:r>
        <w:rPr>
          <w:rFonts w:hint="eastAsia" w:ascii="宋体" w:hAnsi="宋体" w:eastAsia="宋体" w:cs="宋体"/>
          <w:color w:val="000000"/>
        </w:rPr>
        <w:t xml:space="preserve">溠</w:t>
      </w:r>
      <w:r>
        <w:rPr>
          <w:rFonts w:hint="eastAsia" w:cs="仿宋_GB2312"/>
          <w:color w:val="000000"/>
        </w:rPr>
        <w:t xml:space="preserve">水、</w:t>
      </w:r>
      <w:r>
        <w:rPr>
          <w:color w:val="000000"/>
        </w:rPr>
        <w:fldChar w:fldCharType="begin"/>
      </w:r>
      <w:r>
        <w:rPr>
          <w:color w:val="000000"/>
        </w:rPr>
        <w:instrText xml:space="preserve"> HYPERLINK "http://www.baidu.com/link?url=0MfrlIKfwiDJZCFfoXkYp-9ZsmMAB01_dDmPRL0RrbZujUMM8eaDQVhqFDja9ifXoxhga_lbGFHCumLApxZ1Y_" \t "https://www.baidu.com/_blank" </w:instrText>
      </w:r>
      <w:r>
        <w:rPr>
          <w:color w:val="000000"/>
        </w:rPr>
        <w:fldChar w:fldCharType="separate"/>
      </w:r>
      <w:r>
        <w:rPr>
          <w:rFonts w:hint="eastAsia" w:ascii="宋体-方正超大字符集" w:hAnsi="宋体-方正超大字符集" w:eastAsia="宋体-方正超大字符集" w:cs="宋体-方正超大字符集"/>
          <w:color w:val="000000"/>
        </w:rPr>
        <w:t xml:space="preserve">㵐</w:t>
      </w:r>
      <w:r>
        <w:rPr>
          <w:rFonts w:hint="eastAsia" w:cs="仿宋_GB2312"/>
          <w:color w:val="000000"/>
        </w:rPr>
        <w:t xml:space="preserve">水</w:t>
      </w:r>
      <w:r>
        <w:rPr>
          <w:rFonts w:hint="eastAsia" w:cs="仿宋_GB2312"/>
          <w:color w:val="000000"/>
        </w:rPr>
        <w:fldChar w:fldCharType="end"/>
      </w:r>
      <w:r>
        <w:rPr>
          <w:rFonts w:hint="eastAsia" w:cs="仿宋_GB2312"/>
          <w:color w:val="000000"/>
        </w:rPr>
        <w:t xml:space="preserve">、漂水河、应山河、广水河），打造桐柏山</w:t>
      </w:r>
      <w:r>
        <w:rPr>
          <w:color w:val="000000"/>
        </w:rPr>
        <w:t xml:space="preserve">-</w:t>
      </w:r>
      <w:r>
        <w:rPr>
          <w:rFonts w:hint="eastAsia" w:cs="仿宋_GB2312"/>
          <w:color w:val="000000"/>
        </w:rPr>
        <w:t xml:space="preserve">大别山生态屏障和大洪山生态屏障，随北桐柏山生态水资源涵养区、随南大洪山山地生态保育区和随中平原城镇生态协调发展区，构建</w:t>
      </w:r>
      <w:r>
        <w:rPr>
          <w:color w:val="000000"/>
        </w:rPr>
        <w:t xml:space="preserve">“</w:t>
      </w:r>
      <w:r>
        <w:rPr>
          <w:rFonts w:hint="eastAsia" w:cs="仿宋_GB2312"/>
          <w:color w:val="000000"/>
        </w:rPr>
        <w:t xml:space="preserve">两屏三区、七廊多点</w:t>
      </w:r>
      <w:r>
        <w:rPr>
          <w:color w:val="000000"/>
        </w:rPr>
        <w:t xml:space="preserve">”</w:t>
      </w:r>
      <w:r>
        <w:rPr>
          <w:rFonts w:hint="eastAsia" w:cs="仿宋_GB2312"/>
          <w:color w:val="000000"/>
        </w:rPr>
        <w:t xml:space="preserve">生态格局。加强重点生态功能区、重要河流的管理、保护和修复，推进淮河、封江、徐家河湿地公园建设，开展府</w:t>
      </w:r>
      <w:r>
        <w:rPr>
          <w:rFonts w:hint="eastAsia" w:ascii="宋体" w:hAnsi="宋体" w:eastAsia="宋体" w:cs="仿宋_GB2312"/>
          <w:color w:val="000000"/>
        </w:rPr>
        <w:t xml:space="preserve">澴</w:t>
      </w:r>
      <w:r>
        <w:rPr>
          <w:rFonts w:hint="eastAsia" w:cs="仿宋_GB2312"/>
          <w:color w:val="000000"/>
        </w:rPr>
        <w:t xml:space="preserve">河、淮河等源头区域及重要水源地水土保持预防工程。全面推行林长制，完善森林资源动态监测体系，严格执行采伐限额管理制度，严格林木采伐审批管理和生态公益林、天然林保护制度，全面停止生态公益林、天然林商业性采伐，有效增加森林面积和蓄积量。开展大规模国土绿化行动，实施森林质量精准提升工程，持续推进封山育林、退耕还林、植树造林，推动长江防护林、国家储备林、中幼林抚育等工程建设，提升生态系统碳汇能力。按照山水</w:t>
      </w:r>
      <w:r>
        <w:rPr>
          <w:rFonts w:hint="eastAsia" w:cs="仿宋_GB2312"/>
          <w:color w:val="000000"/>
          <w:lang w:eastAsia="zh-CN"/>
        </w:rPr>
        <w:t xml:space="preserve">林</w:t>
      </w:r>
      <w:r>
        <w:rPr>
          <w:rFonts w:hint="eastAsia" w:cs="仿宋_GB2312"/>
          <w:color w:val="000000"/>
        </w:rPr>
        <w:t xml:space="preserve">田湖</w:t>
      </w:r>
      <w:r>
        <w:rPr>
          <w:rFonts w:hint="eastAsia" w:cs="仿宋_GB2312"/>
          <w:color w:val="000000"/>
          <w:lang w:eastAsia="zh-CN"/>
        </w:rPr>
        <w:t xml:space="preserve">草</w:t>
      </w:r>
      <w:r>
        <w:rPr>
          <w:rFonts w:hint="eastAsia" w:cs="仿宋_GB2312"/>
          <w:color w:val="000000"/>
        </w:rPr>
        <w:t xml:space="preserve">系统治理理念，实施国土空间生态修复，促进绿色矿业建设，重点推进</w:t>
      </w:r>
      <w:r>
        <w:rPr>
          <w:color w:val="000000"/>
        </w:rPr>
        <w:t xml:space="preserve">“</w:t>
      </w:r>
      <w:r>
        <w:rPr>
          <w:rFonts w:hint="eastAsia" w:cs="仿宋_GB2312"/>
          <w:color w:val="000000"/>
        </w:rPr>
        <w:t xml:space="preserve">三区两线</w:t>
      </w:r>
      <w:r>
        <w:rPr>
          <w:color w:val="000000"/>
        </w:rPr>
        <w:t xml:space="preserve">”</w:t>
      </w:r>
      <w:r>
        <w:rPr>
          <w:rFonts w:hint="eastAsia" w:cs="仿宋_GB2312"/>
          <w:color w:val="000000"/>
        </w:rPr>
        <w:t xml:space="preserve">矿山复绿、随县吴山</w:t>
      </w:r>
      <w:r>
        <w:rPr>
          <w:rFonts w:hint="eastAsia"/>
          <w:color w:val="000000"/>
        </w:rPr>
        <w:t xml:space="preserve">、</w:t>
      </w:r>
      <w:r>
        <w:rPr>
          <w:rFonts w:hint="eastAsia" w:cs="仿宋_GB2312"/>
          <w:color w:val="000000"/>
        </w:rPr>
        <w:t xml:space="preserve">万和石材矿山等</w:t>
      </w:r>
      <w:r>
        <w:rPr>
          <w:color w:val="000000"/>
        </w:rPr>
        <w:t xml:space="preserve">5</w:t>
      </w:r>
      <w:r>
        <w:rPr>
          <w:rFonts w:hint="eastAsia" w:cs="仿宋_GB2312"/>
          <w:color w:val="000000"/>
        </w:rPr>
        <w:t xml:space="preserve">个重点区域生态修复，在随县吴山镇、万和镇实施一批矿山生态修复示范项目。</w:t>
      </w:r>
      <w:r>
        <w:rPr>
          <w:rFonts w:hint="eastAsia" w:cs="仿宋_GB2312"/>
          <w:color w:val="000000"/>
        </w:rPr>
      </w:r>
      <w:r>
        <w:rPr>
          <w:rFonts w:hint="eastAsia" w:cs="仿宋_GB2312"/>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lang w:val="en-US"/>
        </w:rPr>
        <w:t xml:space="preserve">加强生物多样性保护。</w:t>
      </w:r>
      <w:r>
        <w:rPr>
          <w:rFonts w:hint="eastAsia" w:cs="仿宋_GB2312"/>
          <w:color w:val="000000"/>
        </w:rPr>
        <w:t xml:space="preserve">扎实推进全市国土综合整治，完成自然保护地勘界定标、自然资源资产清查、自然资源资产负债表编制工作，守住自然生态安全边界。强化重要自然生态系统、自然遗迹、自然景观和濒危物种种群保护。实施水生物多样性保护工程，切实保护七大水系水生物资源。加强珍稀濒危动植物拯救与保护，建设野生动物救护场所和繁育基地。严厉打击非法野生动物交易。推进生态保护和修复支撑体系建设，加强外来物种管控，提高森林防火、病虫害防治能力，开展随州市优良林木种质资源保护及利用工程。</w:t>
      </w:r>
      <w:r>
        <w:rPr>
          <w:rFonts w:hint="eastAsia" w:cs="仿宋_GB2312"/>
          <w:color w:val="000000"/>
        </w:rPr>
      </w:r>
      <w:r>
        <w:rPr>
          <w:rFonts w:hint="eastAsia" w:cs="仿宋_GB2312"/>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推进生态文明制度建设和生态文明示范创建。</w:t>
      </w:r>
      <w:r>
        <w:rPr>
          <w:rFonts w:hint="eastAsia" w:cs="仿宋_GB2312"/>
          <w:color w:val="000000"/>
        </w:rPr>
        <w:t xml:space="preserve">建立统一的确权登记系统，制定全市自然资源统一确权登记办法,形成完善的自然资源资产管理制度、确权及产权交易制度，特别是农村自然资源权属确定、流转、交易等制度，国土及集体资源确权登记颁证比率达到100%。完善污染物排放许可制，积极开展环评审批改革试点,促进环评“</w:t>
      </w:r>
      <w:r>
        <w:rPr>
          <w:rFonts w:hint="eastAsia" w:cs="仿宋_GB2312"/>
          <w:color w:val="000000"/>
          <w:lang w:val="en-US"/>
        </w:rPr>
        <w:t xml:space="preserve">三</w:t>
      </w:r>
      <w:r>
        <w:rPr>
          <w:rFonts w:hint="eastAsia" w:cs="仿宋_GB2312"/>
          <w:color w:val="000000"/>
        </w:rPr>
        <w:t xml:space="preserve">同时”与排污许可制度的有机衔接。</w:t>
      </w:r>
      <w:r>
        <w:rPr>
          <w:rFonts w:hint="eastAsia" w:cs="仿宋_GB2312"/>
          <w:color w:val="000000"/>
          <w:lang w:val="en-US"/>
        </w:rPr>
        <w:t xml:space="preserve">建立绿色发展、生态文明考核指标体系，构建现代环境治理体系，落实境内流域横向生态补偿、生态环境损害赔偿、领导干部自然资源资产离任审计、</w:t>
      </w:r>
      <w:r>
        <w:rPr>
          <w:rFonts w:hint="eastAsia" w:cs="仿宋_GB2312"/>
          <w:color w:val="000000"/>
        </w:rPr>
        <w:t xml:space="preserve">环境保护“一票否决”等制度。健全环境治理和生态保护市场体系，培育环境治理和生态保护市场主体，积极探索市场化补偿模式，推行用能权、碳排放权、排污权、水权、林权等交易制度，支持大洪山开展碳排放权交易试点。探索建立重大决策、重大工程生态环境效益评估论证机制。实施生态文明示范创建工程，深化生态文明示范市、县、镇、村“四级联创”，推动随州成功创建国家生态文明建设示范市，随县、广水市、曾都区成功创建国家级生态文明建设示范县（市、区），新增一批国家级、省级生态镇和生态村。</w:t>
      </w:r>
      <w:r>
        <w:rPr>
          <w:rFonts w:hint="eastAsia" w:cs="仿宋_GB2312"/>
          <w:color w:val="000000"/>
        </w:rPr>
      </w:r>
      <w:r>
        <w:rPr>
          <w:rFonts w:hint="eastAsia" w:cs="仿宋_GB2312"/>
          <w:color w:val="000000"/>
        </w:rPr>
      </w:r>
    </w:p>
    <w:p>
      <w:pPr>
        <w:pStyle w:val="737"/>
        <w:pBdr/>
        <w:spacing/>
        <w:ind w:firstLine="643"/>
        <w:rPr>
          <w:rFonts w:hint="eastAsia" w:ascii="黑体" w:hAnsi="黑体" w:eastAsia="黑体" w:cs="黑体"/>
          <w:b/>
          <w:bCs/>
          <w:color w:val="000000"/>
        </w:rPr>
      </w:pPr>
      <w:r>
        <w:rPr>
          <w:rFonts w:hint="eastAsia" w:ascii="黑体" w:hAnsi="黑体" w:eastAsia="黑体" w:cs="黑体"/>
          <w:b/>
          <w:bCs/>
          <w:color w:val="000000"/>
        </w:rPr>
      </w:r>
      <w:r>
        <w:rPr>
          <w:rFonts w:hint="eastAsia" w:ascii="黑体" w:hAnsi="黑体" w:eastAsia="黑体" w:cs="黑体"/>
          <w:b/>
          <w:bCs/>
          <w:color w:val="000000"/>
        </w:rPr>
      </w:r>
    </w:p>
    <w:p>
      <w:pPr>
        <w:pStyle w:val="739"/>
        <w:pBdr/>
        <w:spacing/>
        <w:ind w:firstLine="720"/>
        <w:rPr>
          <w:rFonts w:hint="eastAsia" w:ascii="黑体" w:hAnsi="黑体" w:eastAsia="黑体" w:cs="黑体"/>
          <w:b w:val="0"/>
          <w:bCs w:val="0"/>
          <w:color w:val="000000"/>
        </w:rPr>
      </w:pPr>
      <w:r/>
      <w:bookmarkStart w:id="74" w:name="_Toc27047"/>
      <w:r>
        <w:rPr>
          <w:rFonts w:hint="eastAsia" w:ascii="黑体" w:hAnsi="黑体" w:eastAsia="黑体" w:cs="黑体"/>
          <w:b w:val="0"/>
          <w:bCs w:val="0"/>
          <w:color w:val="000000"/>
        </w:rPr>
        <w:t xml:space="preserve">二、持续强化污染防治</w:t>
      </w:r>
      <w:bookmarkEnd w:id="74"/>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rFonts w:hint="eastAsia"/>
          <w:color w:val="000000"/>
        </w:rPr>
      </w:pPr>
      <w:r>
        <w:rPr>
          <w:rFonts w:hint="eastAsia"/>
          <w:color w:val="000000"/>
        </w:rPr>
        <w:t xml:space="preserve">坚持精准治污、科学治污、依法治污，继续开展污染防治行动，建立健全天上地下、水陆统筹的生态环境治理制度。</w:t>
      </w:r>
      <w:r>
        <w:rPr>
          <w:rFonts w:hint="eastAsia"/>
          <w:color w:val="000000"/>
        </w:rPr>
      </w:r>
      <w:r>
        <w:rPr>
          <w:rFonts w:hint="eastAsia"/>
          <w:color w:val="000000"/>
        </w:rPr>
      </w:r>
    </w:p>
    <w:p>
      <w:pPr>
        <w:pStyle w:val="737"/>
        <w:pBdr/>
        <w:spacing/>
        <w:ind w:firstLine="643"/>
        <w:rPr>
          <w:rFonts w:hint="eastAsia" w:cs="仿宋_GB2312"/>
          <w:color w:val="000000"/>
          <w:lang w:val="zh-TW"/>
        </w:rPr>
      </w:pPr>
      <w:r>
        <w:rPr>
          <w:rFonts w:hint="eastAsia" w:ascii="楷体_GB2312" w:hAnsi="楷体_GB2312" w:eastAsia="楷体_GB2312" w:cs="楷体_GB2312"/>
          <w:b/>
          <w:bCs/>
          <w:color w:val="000000"/>
        </w:rPr>
        <w:t xml:space="preserve">实施“蓝天工程”</w:t>
      </w:r>
      <w:r>
        <w:rPr>
          <w:rFonts w:hint="eastAsia" w:cs="仿宋_GB2312"/>
          <w:b/>
          <w:bCs/>
          <w:color w:val="000000"/>
        </w:rPr>
        <w:t xml:space="preserve">。</w:t>
      </w:r>
      <w:r>
        <w:rPr>
          <w:rFonts w:hint="eastAsia" w:cs="仿宋_GB2312"/>
          <w:color w:val="000000"/>
        </w:rPr>
        <w:t xml:space="preserve">严格控制新增污染源，加大挥发性有机物、施工扬尘、秸秆焚烧、</w:t>
      </w:r>
      <w:r>
        <w:rPr>
          <w:rFonts w:hint="eastAsia" w:cs="仿宋_GB2312"/>
          <w:color w:val="000000"/>
          <w:lang w:val="en-US"/>
        </w:rPr>
        <w:t xml:space="preserve">机动车及非道路移动机械尾气排放</w:t>
      </w:r>
      <w:r>
        <w:rPr>
          <w:rFonts w:hint="eastAsia" w:cs="仿宋_GB2312"/>
          <w:color w:val="000000"/>
        </w:rPr>
        <w:t xml:space="preserve">等大气面源污染整治力度。推进重点区域大气环境综合整治，加强建材、化工、</w:t>
      </w:r>
      <w:r>
        <w:rPr>
          <w:rFonts w:hint="eastAsia" w:cs="仿宋_GB2312"/>
          <w:color w:val="000000"/>
          <w:lang w:val="en-US"/>
        </w:rPr>
        <w:t xml:space="preserve">专用汽车制造</w:t>
      </w:r>
      <w:r>
        <w:rPr>
          <w:rFonts w:hint="eastAsia" w:cs="仿宋_GB2312"/>
          <w:color w:val="000000"/>
        </w:rPr>
        <w:t xml:space="preserve">等重点行业及高排放机动车、涉气工业企业污染深度治理，</w:t>
      </w:r>
      <w:r>
        <w:rPr>
          <w:rFonts w:hint="eastAsia" w:cs="仿宋_GB2312"/>
          <w:color w:val="000000"/>
          <w:lang w:val="en-US"/>
        </w:rPr>
        <w:t xml:space="preserve">开展</w:t>
      </w:r>
      <w:r>
        <w:rPr>
          <w:rFonts w:cs="仿宋_GB2312"/>
          <w:color w:val="000000"/>
          <w:lang w:val="en-US"/>
        </w:rPr>
        <w:t xml:space="preserve">重点行业绿色改造、</w:t>
      </w:r>
      <w:r>
        <w:rPr>
          <w:rFonts w:hint="eastAsia" w:cs="仿宋_GB2312"/>
          <w:color w:val="000000"/>
          <w:lang w:val="en-US"/>
        </w:rPr>
        <w:t xml:space="preserve">挥发性有机化合物</w:t>
      </w:r>
      <w:r>
        <w:rPr>
          <w:rFonts w:cs="仿宋_GB2312"/>
          <w:color w:val="000000"/>
          <w:lang w:val="en-US"/>
        </w:rPr>
        <w:t xml:space="preserve">综合治理、燃煤清洁化替代、车油管控等</w:t>
      </w:r>
      <w:r>
        <w:rPr>
          <w:rFonts w:hint="eastAsia" w:cs="仿宋_GB2312"/>
          <w:color w:val="000000"/>
          <w:lang w:val="en-US"/>
        </w:rPr>
        <w:t xml:space="preserve">工作，确保稳定达标排放</w:t>
      </w:r>
      <w:r>
        <w:rPr>
          <w:rFonts w:cs="仿宋_GB2312"/>
          <w:color w:val="000000"/>
          <w:lang w:val="zh-TW" w:eastAsia="zh-TW"/>
        </w:rPr>
        <w:t xml:space="preserve">。</w:t>
      </w:r>
      <w:r>
        <w:rPr>
          <w:rFonts w:hint="eastAsia" w:cs="仿宋_GB2312"/>
          <w:color w:val="000000"/>
          <w:lang w:val="zh-TW"/>
        </w:rPr>
        <w:t xml:space="preserve">实施应对气候变化工程，积极应对重污染天气，探索臭氧污染治理有效路径和举措。</w:t>
      </w:r>
      <w:r>
        <w:rPr>
          <w:rFonts w:hint="eastAsia" w:cs="仿宋_GB2312"/>
          <w:color w:val="000000"/>
          <w:lang w:val="zh-TW"/>
        </w:rPr>
      </w:r>
      <w:r>
        <w:rPr>
          <w:rFonts w:hint="eastAsia" w:cs="仿宋_GB2312"/>
          <w:color w:val="000000"/>
          <w:lang w:val="zh-TW"/>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实施“碧水工程”</w:t>
      </w:r>
      <w:r>
        <w:rPr>
          <w:rFonts w:hint="eastAsia" w:cs="仿宋_GB2312"/>
          <w:b/>
          <w:bCs/>
          <w:color w:val="000000"/>
        </w:rPr>
        <w:t xml:space="preserve">。</w:t>
      </w:r>
      <w:r>
        <w:rPr>
          <w:rFonts w:hint="eastAsia" w:cs="仿宋_GB2312"/>
          <w:color w:val="000000"/>
        </w:rPr>
        <w:t xml:space="preserve">深入落实河湖长制，全面开展水生态修复，推动府</w:t>
      </w:r>
      <w:r>
        <w:rPr>
          <w:rFonts w:hint="eastAsia" w:ascii="宋体" w:hAnsi="宋体" w:eastAsia="宋体" w:cs="仿宋_GB2312"/>
          <w:color w:val="000000"/>
        </w:rPr>
        <w:t xml:space="preserve">澴</w:t>
      </w:r>
      <w:r>
        <w:rPr>
          <w:rFonts w:hint="eastAsia" w:cs="仿宋_GB2312"/>
          <w:color w:val="000000"/>
        </w:rPr>
        <w:t xml:space="preserve">河随州段（含广水河、应山河）水生态修复与保护、淮河源头水生态修复与综合治理、随州</w:t>
      </w:r>
      <w:r>
        <w:rPr>
          <w:rFonts w:hint="eastAsia" w:ascii="宋体-方正超大字符集" w:hAnsi="宋体-方正超大字符集" w:eastAsia="宋体-方正超大字符集" w:cs="宋体-方正超大字符集"/>
          <w:color w:val="000000"/>
        </w:rPr>
        <w:t xml:space="preserve">㵐</w:t>
      </w:r>
      <w:r>
        <w:rPr>
          <w:rFonts w:hint="eastAsia" w:cs="仿宋_GB2312"/>
          <w:color w:val="000000"/>
        </w:rPr>
        <w:t xml:space="preserve">水河水生态修复与综合治理、随州市漂水河生态修复与</w:t>
      </w:r>
      <w:r>
        <w:rPr>
          <w:rFonts w:hint="eastAsia" w:cs="仿宋_GB2312"/>
          <w:color w:val="000000"/>
          <w:lang w:val="en-US"/>
        </w:rPr>
        <w:t xml:space="preserve">综</w:t>
      </w:r>
      <w:r>
        <w:rPr>
          <w:rFonts w:hint="eastAsia" w:cs="仿宋_GB2312"/>
          <w:color w:val="000000"/>
        </w:rPr>
        <w:t xml:space="preserve">合治理、大洪山水生态治理工程、曾都区府河流域水环境综合治理工程、广水市徐家河综合治理工程等重大工程建设。完善雨污分流管网、老旧管网修复，加快建设污水处理设施。</w:t>
      </w:r>
      <w:r>
        <w:rPr>
          <w:rFonts w:hint="eastAsia" w:cs="仿宋_GB2312"/>
          <w:color w:val="000000"/>
          <w:lang w:val="en-US"/>
        </w:rPr>
        <w:t xml:space="preserve">巩固县级以上城市集中式饮用水源地</w:t>
      </w:r>
      <w:r>
        <w:rPr>
          <w:rFonts w:cs="仿宋_GB2312"/>
          <w:color w:val="000000"/>
          <w:lang w:val="en-US"/>
        </w:rPr>
        <w:t xml:space="preserve">环境整治</w:t>
      </w:r>
      <w:r>
        <w:rPr>
          <w:rFonts w:hint="eastAsia" w:cs="仿宋_GB2312"/>
          <w:color w:val="000000"/>
          <w:lang w:val="en-US"/>
        </w:rPr>
        <w:t xml:space="preserve">成果，深入推进城镇及农村集中式饮用水源地环境整治与规范化建设</w:t>
      </w:r>
      <w:r>
        <w:rPr>
          <w:rFonts w:cs="仿宋_GB2312"/>
          <w:color w:val="000000"/>
          <w:lang w:val="en-US"/>
        </w:rPr>
        <w:t xml:space="preserve">、</w:t>
      </w:r>
      <w:r>
        <w:rPr>
          <w:rFonts w:hint="eastAsia" w:cs="仿宋_GB2312"/>
          <w:color w:val="000000"/>
          <w:lang w:val="en-US"/>
        </w:rPr>
        <w:t xml:space="preserve">入河</w:t>
      </w:r>
      <w:r>
        <w:rPr>
          <w:rFonts w:cs="仿宋_GB2312"/>
          <w:color w:val="000000"/>
          <w:lang w:val="en-US"/>
        </w:rPr>
        <w:t xml:space="preserve">排污口整治、城市污水管网建设、黑臭水体</w:t>
      </w:r>
      <w:r>
        <w:rPr>
          <w:rFonts w:hint="eastAsia" w:cs="仿宋_GB2312"/>
          <w:color w:val="000000"/>
          <w:lang w:val="en-US"/>
        </w:rPr>
        <w:t xml:space="preserve">综合</w:t>
      </w:r>
      <w:r>
        <w:rPr>
          <w:rFonts w:cs="仿宋_GB2312"/>
          <w:color w:val="000000"/>
          <w:lang w:val="en-US"/>
        </w:rPr>
        <w:t xml:space="preserve">整治、</w:t>
      </w:r>
      <w:r>
        <w:rPr>
          <w:rFonts w:cs="仿宋_GB2312"/>
          <w:color w:val="000000"/>
          <w:lang w:val="zh-TW" w:eastAsia="zh-TW"/>
        </w:rPr>
        <w:t xml:space="preserve">城镇</w:t>
      </w:r>
      <w:r>
        <w:rPr>
          <w:rFonts w:hint="eastAsia" w:cs="仿宋_GB2312"/>
          <w:color w:val="000000"/>
          <w:lang w:val="zh-TW"/>
        </w:rPr>
        <w:t xml:space="preserve">及工业园区</w:t>
      </w:r>
      <w:r>
        <w:rPr>
          <w:rFonts w:cs="仿宋_GB2312"/>
          <w:color w:val="000000"/>
          <w:lang w:val="zh-TW" w:eastAsia="zh-TW"/>
        </w:rPr>
        <w:t xml:space="preserve">污水</w:t>
      </w:r>
      <w:r>
        <w:rPr>
          <w:rFonts w:cs="仿宋_GB2312"/>
          <w:color w:val="000000"/>
          <w:lang w:val="en-US"/>
        </w:rPr>
        <w:t xml:space="preserve">污泥处理处置设施建设与</w:t>
      </w:r>
      <w:r>
        <w:rPr>
          <w:rFonts w:hint="eastAsia" w:cs="仿宋_GB2312"/>
          <w:color w:val="000000"/>
          <w:lang w:val="en-US"/>
        </w:rPr>
        <w:t xml:space="preserve">管理、</w:t>
      </w:r>
      <w:r>
        <w:rPr>
          <w:rFonts w:cs="仿宋_GB2312"/>
          <w:color w:val="000000"/>
          <w:lang w:val="en-US"/>
        </w:rPr>
        <w:t xml:space="preserve">地下水监测网建设与修复试点</w:t>
      </w:r>
      <w:r>
        <w:rPr>
          <w:rFonts w:hint="eastAsia" w:cs="仿宋_GB2312"/>
          <w:color w:val="000000"/>
          <w:lang w:val="en-US"/>
        </w:rPr>
        <w:t xml:space="preserve">等工作。</w:t>
      </w:r>
      <w:r>
        <w:rPr>
          <w:rFonts w:hint="eastAsia" w:cs="仿宋_GB2312"/>
          <w:color w:val="000000"/>
        </w:rPr>
        <w:t xml:space="preserve">探索开展“智慧排水”。</w:t>
      </w:r>
      <w:r>
        <w:rPr>
          <w:rFonts w:hint="eastAsia" w:cs="仿宋_GB2312"/>
          <w:color w:val="000000"/>
          <w:lang w:val="en-US"/>
        </w:rPr>
        <w:t xml:space="preserve">加强</w:t>
      </w:r>
      <w:r>
        <w:rPr>
          <w:rFonts w:cs="仿宋_GB2312"/>
          <w:color w:val="000000"/>
          <w:lang w:val="en-US"/>
        </w:rPr>
        <w:t xml:space="preserve">地下水污染防控</w:t>
      </w:r>
      <w:r>
        <w:rPr>
          <w:rFonts w:hint="eastAsia" w:cs="仿宋_GB2312"/>
          <w:color w:val="000000"/>
          <w:lang w:val="en-US"/>
        </w:rPr>
        <w:t xml:space="preserve">。</w:t>
      </w:r>
      <w:r>
        <w:rPr>
          <w:rFonts w:hint="eastAsia" w:cs="仿宋_GB2312"/>
          <w:color w:val="000000"/>
        </w:rPr>
      </w:r>
      <w:r>
        <w:rPr>
          <w:rFonts w:hint="eastAsia" w:cs="仿宋_GB2312"/>
          <w:color w:val="000000"/>
        </w:rPr>
      </w:r>
    </w:p>
    <w:p>
      <w:pPr>
        <w:pStyle w:val="737"/>
        <w:pBdr/>
        <w:spacing/>
        <w:ind w:firstLine="643"/>
        <w:rPr>
          <w:rFonts w:hint="eastAsia" w:cs="仿宋_GB2312"/>
          <w:color w:val="000000"/>
          <w:lang w:val="en-US"/>
        </w:rPr>
      </w:pPr>
      <w:r>
        <w:rPr>
          <w:rFonts w:hint="eastAsia" w:ascii="楷体_GB2312" w:hAnsi="楷体_GB2312" w:eastAsia="楷体_GB2312" w:cs="楷体_GB2312"/>
          <w:b/>
          <w:bCs/>
          <w:color w:val="000000"/>
        </w:rPr>
        <w:t xml:space="preserve">实施“净土工程”。</w:t>
      </w:r>
      <w:r>
        <w:rPr>
          <w:rFonts w:hint="eastAsia" w:cs="仿宋_GB2312"/>
          <w:color w:val="000000"/>
          <w:lang w:val="en-US"/>
        </w:rPr>
        <w:t xml:space="preserve">落实建设用地准入管理机制。</w:t>
      </w:r>
      <w:r>
        <w:rPr>
          <w:rFonts w:hint="eastAsia" w:cs="仿宋_GB2312"/>
          <w:color w:val="000000"/>
        </w:rPr>
        <w:t xml:space="preserve">强化土壤污染管控和修复，加强农业面源污染防治，推动</w:t>
      </w:r>
      <w:r>
        <w:rPr>
          <w:rFonts w:hint="eastAsia" w:cs="仿宋_GB2312"/>
          <w:color w:val="000000"/>
          <w:lang w:val="en-US"/>
        </w:rPr>
        <w:t xml:space="preserve">城</w:t>
      </w:r>
      <w:r>
        <w:rPr>
          <w:rFonts w:hint="eastAsia" w:cs="仿宋_GB2312"/>
          <w:color w:val="000000"/>
        </w:rPr>
        <w:t xml:space="preserve">乡生活垃圾无害化处理。加大退化、污染、损毁农田改良和修复力度,推进水土流失综合治理,加强固体废弃物规范管理，</w:t>
      </w:r>
      <w:r>
        <w:rPr>
          <w:rFonts w:cs="仿宋_GB2312"/>
          <w:color w:val="000000"/>
          <w:lang w:val="en-US"/>
        </w:rPr>
        <w:t xml:space="preserve">提升危险废物安全处置能力、生活垃圾分类收集与处理处置能力、工业固体废物协同处理</w:t>
      </w:r>
      <w:r>
        <w:rPr>
          <w:rFonts w:hint="eastAsia" w:cs="仿宋_GB2312"/>
          <w:color w:val="000000"/>
          <w:lang w:val="en-US"/>
        </w:rPr>
        <w:t xml:space="preserve">能力</w:t>
      </w:r>
      <w:r>
        <w:rPr>
          <w:rFonts w:hint="eastAsia" w:cs="仿宋_GB2312"/>
          <w:color w:val="000000"/>
        </w:rPr>
        <w:t xml:space="preserve">。</w:t>
      </w:r>
      <w:r>
        <w:rPr>
          <w:rFonts w:hint="eastAsia" w:cs="仿宋_GB2312"/>
          <w:color w:val="000000"/>
          <w:lang w:val="en-US"/>
        </w:rPr>
      </w:r>
      <w:r>
        <w:rPr>
          <w:rFonts w:hint="eastAsia" w:cs="仿宋_GB2312"/>
          <w:color w:val="000000"/>
          <w:lang w:val="en-US"/>
        </w:rPr>
      </w:r>
    </w:p>
    <w:p>
      <w:pPr>
        <w:pStyle w:val="737"/>
        <w:pBdr/>
        <w:spacing/>
        <w:ind w:firstLine="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bookmarkStart w:id="75" w:name="_Toc8727"/>
      <w:r>
        <w:rPr>
          <w:rFonts w:hint="eastAsia" w:ascii="黑体" w:hAnsi="黑体" w:eastAsia="黑体" w:cs="黑体"/>
          <w:b w:val="0"/>
          <w:bCs w:val="0"/>
          <w:color w:val="000000"/>
        </w:rPr>
        <w:t xml:space="preserve">三、推动资源节约绿色发展</w:t>
      </w:r>
      <w:bookmarkEnd w:id="75"/>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rFonts w:hint="eastAsia" w:cs="仿宋_GB2312"/>
          <w:color w:val="000000"/>
        </w:rPr>
      </w:pPr>
      <w:r>
        <w:rPr>
          <w:rFonts w:hint="eastAsia" w:cs="仿宋_GB2312"/>
          <w:color w:val="000000"/>
        </w:rPr>
        <w:t xml:space="preserve">推进资源总量管理、科学配置、全面节约、循环利用，完善能源、水资源、建设用地总量和强度双控机制。严格实行环境准入制度，对技术落后、污染环境、附加值低的项目提高门槛。推进重点领域、重点用能单位能效提升，支持企业采用环保新设备、新工艺，实现清洁生产，围绕化工、冶金、建材等重点行业，深入实施新一轮工业转型升级行动，淘汰落后产能，促进节能降耗。大力发展循环经济，推进清洁生产，促进重</w:t>
      </w:r>
      <w:r>
        <w:rPr>
          <w:rFonts w:hint="eastAsia" w:cs="仿宋_GB2312"/>
          <w:color w:val="000000"/>
        </w:rPr>
        <w:t xml:space="preserve">点行业和重要领域绿色化改造，加强随州高新区园区循环化改造力度，实施广水华鑫冶金节能技改项目，建设随县石材绿色循环产业园、广水杨寨新煌循环经济产业园，推进花岗岩尾矿及加工固体废弃物循环利用项目、石材综合利用项目、钢铁冶金废弃物综合利用等项目建设，打造国家资源节约示范区。加快构建绿色化循环利用体系，促进生产、流通、回收等环节绿色化，鼓励企业开展绿色产品研发、设计和制造，推进绿色包装，推广绿色采购，开展绿色回收，实现生产全程绿色化转变。实施最严格水资源管理制度，全面落实水资源开发利用、用水效率和水功能区限制纳污等</w:t>
      </w:r>
      <w:r>
        <w:rPr>
          <w:color w:val="000000"/>
        </w:rPr>
        <w:t xml:space="preserve">“</w:t>
      </w:r>
      <w:r>
        <w:rPr>
          <w:rFonts w:hint="eastAsia" w:cs="仿宋_GB2312"/>
          <w:color w:val="000000"/>
        </w:rPr>
        <w:t xml:space="preserve">三条红线</w:t>
      </w:r>
      <w:r>
        <w:rPr>
          <w:color w:val="000000"/>
        </w:rPr>
        <w:t xml:space="preserve">”</w:t>
      </w:r>
      <w:r>
        <w:rPr>
          <w:rFonts w:hint="eastAsia" w:cs="仿宋_GB2312"/>
          <w:color w:val="000000"/>
        </w:rPr>
        <w:t xml:space="preserve">管控措施，建立相应指标体系，提高用水效率，</w:t>
      </w:r>
      <w:r>
        <w:rPr>
          <w:rFonts w:hint="eastAsia" w:cs="仿宋_GB2312"/>
          <w:color w:val="000000"/>
          <w:lang w:eastAsia="zh-CN"/>
        </w:rPr>
        <w:t xml:space="preserve">加快建设</w:t>
      </w:r>
      <w:r>
        <w:rPr>
          <w:rFonts w:hint="eastAsia" w:cs="仿宋_GB2312"/>
          <w:color w:val="000000"/>
        </w:rPr>
        <w:t xml:space="preserve">节水型社会。利用垃圾分类发展绿色产业，支持垃圾处理企业利用垃圾焚烧发电，促进餐厨垃圾转化为酵素堆肥、生物柴油，提高垃圾二次回收循环再利用价值，</w:t>
      </w:r>
      <w:r>
        <w:rPr>
          <w:rFonts w:hint="eastAsia" w:cs="仿宋_GB2312"/>
          <w:color w:val="000000"/>
          <w:lang w:val="en-US"/>
        </w:rPr>
        <w:t xml:space="preserve">提升餐厨垃圾无害化处理率</w:t>
      </w:r>
      <w:r>
        <w:rPr>
          <w:rFonts w:hint="eastAsia" w:cs="仿宋_GB2312"/>
          <w:color w:val="000000"/>
        </w:rPr>
        <w:t xml:space="preserve">。深化与国家能源集团合作，谋划推进随州电厂余热综合利用、煤炭粉灰循环利用等电厂配套项目。拓展农业循环产业链，探索种养结合、生态养殖、农业废弃物资源化利用等生态循环农业模式，有效减少畜禽养殖场污染和农业面源污染。加大秸秆综合利用政策扶持力度，推进秸秆的资源化、商品化利用。深化碳减排工作，推进钢铁、电力等行业低碳发展，完成省定碳排放强度削减目标。</w:t>
      </w:r>
      <w:r>
        <w:rPr>
          <w:rFonts w:hint="eastAsia" w:cs="仿宋_GB2312"/>
          <w:color w:val="000000"/>
        </w:rPr>
      </w:r>
      <w:r>
        <w:rPr>
          <w:rFonts w:hint="eastAsia" w:cs="仿宋_GB2312"/>
          <w:color w:val="000000"/>
        </w:rPr>
      </w:r>
    </w:p>
    <w:p>
      <w:pPr>
        <w:pStyle w:val="737"/>
        <w:pBdr/>
        <w:spacing/>
        <w:ind w:firstLine="640"/>
        <w:rPr>
          <w:rFonts w:hint="eastAsia"/>
          <w:color w:val="000000"/>
        </w:rPr>
      </w:pPr>
      <w:r>
        <w:rPr>
          <w:rFonts w:hint="eastAsia"/>
          <w:color w:val="000000"/>
        </w:rPr>
      </w:r>
      <w:r>
        <w:rPr>
          <w:rFonts w:hint="eastAsia"/>
          <w:color w:val="000000"/>
        </w:rPr>
      </w:r>
    </w:p>
    <w:p>
      <w:pPr>
        <w:pStyle w:val="739"/>
        <w:pBdr/>
        <w:spacing/>
        <w:ind w:firstLine="720"/>
        <w:rPr>
          <w:rFonts w:hint="eastAsia" w:ascii="黑体" w:hAnsi="黑体" w:eastAsia="黑体" w:cs="黑体"/>
          <w:b w:val="0"/>
          <w:bCs w:val="0"/>
          <w:color w:val="000000"/>
        </w:rPr>
      </w:pPr>
      <w:r/>
      <w:bookmarkStart w:id="76" w:name="_Toc24606"/>
      <w:r>
        <w:rPr>
          <w:rFonts w:hint="eastAsia" w:ascii="黑体" w:hAnsi="黑体" w:eastAsia="黑体" w:cs="黑体"/>
          <w:b w:val="0"/>
          <w:bCs w:val="0"/>
          <w:color w:val="000000"/>
        </w:rPr>
        <w:t xml:space="preserve">四、加快形成绿色生活方式</w:t>
      </w:r>
      <w:bookmarkEnd w:id="76"/>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color w:val="000000"/>
        </w:rPr>
      </w:pPr>
      <w:r>
        <w:rPr>
          <w:rFonts w:hint="eastAsia" w:cs="仿宋_GB2312"/>
          <w:color w:val="000000"/>
        </w:rPr>
        <w:t xml:space="preserve">坚持生态环保</w:t>
      </w:r>
      <w:r>
        <w:rPr>
          <w:rFonts w:hint="eastAsia" w:cs="仿宋_GB2312"/>
          <w:color w:val="000000"/>
        </w:rPr>
        <w:t xml:space="preserve">理念，倡导绿色生活方式。深入开展创建节约型机关、绿色家庭、绿色学校、绿色社区等行动，宣传典型经验、典型人物，提高公众节约意识、环保意识。鼓励绿色出行，鼓励公众选择步行、乘坐公交、高铁等公共交通工具，主动减少机动车使用。加大政府绿色采购力度，优先采购更多节能、节水、环保、再生等绿色产品。严格执行“禁限塑”规定，加强不可降解塑料使用限制，推广可降解替代产品。引导绿色饮食，鼓励公众减少使用一次性餐具。倡导绿色家居，鼓励公众购买绿色家具和环保型建材产品。支持绿色旅游，减少使用一次性日用品。开展粮食节约行动，持续推进</w:t>
      </w:r>
      <w:r>
        <w:rPr>
          <w:color w:val="000000"/>
        </w:rPr>
        <w:t xml:space="preserve">“</w:t>
      </w:r>
      <w:r>
        <w:rPr>
          <w:rFonts w:hint="eastAsia" w:cs="仿宋_GB2312"/>
          <w:color w:val="000000"/>
        </w:rPr>
        <w:t xml:space="preserve">光盘行动</w:t>
      </w:r>
      <w:r>
        <w:rPr>
          <w:color w:val="000000"/>
        </w:rPr>
        <w:t xml:space="preserve">”</w:t>
      </w:r>
      <w:r>
        <w:rPr>
          <w:rFonts w:hint="eastAsia" w:cs="仿宋_GB2312"/>
          <w:color w:val="000000"/>
        </w:rPr>
        <w:t xml:space="preserve">，坚决制止餐饮浪费等行为。加强生态文明宣传教育，引导公众提高生态文明社会责任意识，养成绿色生活习惯，杜绝奢侈浪费和不合理消费，在全社会营造浪费可耻、节约为荣氛围。</w:t>
      </w:r>
      <w:r>
        <w:rPr>
          <w:color w:val="000000"/>
        </w:rPr>
      </w:r>
      <w:r>
        <w:rPr>
          <w:color w:val="000000"/>
        </w:rPr>
      </w:r>
    </w:p>
    <w:p>
      <w:pPr>
        <w:pStyle w:val="737"/>
        <w:pBdr/>
        <w:spacing/>
        <w:ind w:firstLine="640"/>
        <w:rPr>
          <w:rFonts w:hint="eastAsia" w:ascii="楷体_GB2312" w:hAnsi="楷体_GB2312" w:eastAsia="楷体_GB2312" w:cs="楷体_GB2312"/>
          <w:b/>
          <w:bCs/>
          <w:color w:val="000000"/>
        </w:rPr>
      </w:pPr>
      <w:r>
        <w:rPr>
          <w:color w:val="000000"/>
        </w:rPr>
        <w:br w:type="page" w:clear="all"/>
      </w:r>
      <w:r>
        <w:rPr>
          <w:rFonts w:hint="eastAsia" w:ascii="楷体_GB2312" w:hAnsi="楷体_GB2312" w:eastAsia="楷体_GB2312" w:cs="楷体_GB2312"/>
          <w:b/>
          <w:bCs/>
          <w:color w:val="000000"/>
        </w:rPr>
      </w:r>
      <w:r>
        <w:rPr>
          <w:rFonts w:hint="eastAsia" w:ascii="楷体_GB2312" w:hAnsi="楷体_GB2312" w:eastAsia="楷体_GB2312" w:cs="楷体_GB2312"/>
          <w:b/>
          <w:bCs/>
          <w:color w:val="000000"/>
        </w:rPr>
      </w:r>
    </w:p>
    <w:p>
      <w:pPr>
        <w:pStyle w:val="737"/>
        <w:pBdr/>
        <w:spacing/>
        <w:ind w:firstLine="643"/>
        <w:rPr>
          <w:rFonts w:hint="eastAsia" w:ascii="楷体_GB2312" w:hAnsi="楷体_GB2312" w:eastAsia="楷体_GB2312" w:cs="楷体_GB2312"/>
          <w:b/>
          <w:bCs/>
          <w:color w:val="000000"/>
        </w:rPr>
      </w:pPr>
      <w:r>
        <w:rPr>
          <w:rFonts w:hint="eastAsia" w:ascii="楷体_GB2312" w:hAnsi="楷体_GB2312" w:eastAsia="楷体_GB2312" w:cs="楷体_GB2312"/>
          <w:b/>
          <w:bCs/>
          <w:color w:val="000000"/>
        </w:rPr>
      </w:r>
      <w:r>
        <w:rPr>
          <w:rFonts w:hint="eastAsia" w:ascii="楷体_GB2312" w:hAnsi="楷体_GB2312" w:eastAsia="楷体_GB2312" w:cs="楷体_GB2312"/>
          <w:b/>
          <w:bCs/>
          <w:color w:val="000000"/>
        </w:rPr>
      </w:r>
    </w:p>
    <w:p>
      <w:pPr>
        <w:pStyle w:val="738"/>
        <w:pBdr/>
        <w:spacing/>
        <w:ind/>
        <w:rPr>
          <w:rFonts w:ascii="方正小标宋简体" w:eastAsia="方正小标宋简体"/>
          <w:b w:val="0"/>
          <w:bCs w:val="0"/>
          <w:color w:val="000000"/>
          <w:sz w:val="36"/>
          <w:szCs w:val="36"/>
        </w:rPr>
      </w:pPr>
      <w:r/>
      <w:bookmarkStart w:id="77" w:name="_Toc18481"/>
      <w:r>
        <w:rPr>
          <w:rFonts w:hint="eastAsia" w:ascii="方正小标宋简体" w:eastAsia="方正小标宋简体" w:cs="方正小标宋简体"/>
          <w:b w:val="0"/>
          <w:bCs w:val="0"/>
          <w:color w:val="000000"/>
          <w:sz w:val="36"/>
          <w:szCs w:val="36"/>
        </w:rPr>
        <w:t xml:space="preserve">第十二章</w:t>
      </w:r>
      <w:r>
        <w:rPr>
          <w:rFonts w:ascii="方正小标宋简体" w:eastAsia="方正小标宋简体" w:cs="方正小标宋简体"/>
          <w:b w:val="0"/>
          <w:bCs w:val="0"/>
          <w:color w:val="000000"/>
          <w:sz w:val="36"/>
          <w:szCs w:val="36"/>
        </w:rPr>
        <w:t xml:space="preserve"> </w:t>
      </w:r>
      <w:r>
        <w:rPr>
          <w:rFonts w:hint="eastAsia" w:ascii="方正小标宋简体" w:eastAsia="方正小标宋简体" w:cs="方正小标宋简体"/>
          <w:b w:val="0"/>
          <w:bCs w:val="0"/>
          <w:color w:val="000000"/>
          <w:sz w:val="36"/>
          <w:szCs w:val="36"/>
        </w:rPr>
        <w:t xml:space="preserve">加强社会主义精神文明建设</w:t>
      </w:r>
      <w:bookmarkEnd w:id="77"/>
      <w:r>
        <w:rPr>
          <w:rFonts w:ascii="方正小标宋简体" w:eastAsia="方正小标宋简体"/>
          <w:b w:val="0"/>
          <w:bCs w:val="0"/>
          <w:color w:val="000000"/>
          <w:sz w:val="36"/>
          <w:szCs w:val="36"/>
        </w:rPr>
      </w:r>
      <w:r>
        <w:rPr>
          <w:rFonts w:ascii="方正小标宋简体" w:eastAsia="方正小标宋简体"/>
          <w:b w:val="0"/>
          <w:bCs w:val="0"/>
          <w:color w:val="000000"/>
          <w:sz w:val="36"/>
          <w:szCs w:val="36"/>
        </w:rPr>
      </w:r>
    </w:p>
    <w:p>
      <w:pPr>
        <w:pStyle w:val="738"/>
        <w:pBdr/>
        <w:spacing/>
        <w:ind/>
        <w:rPr>
          <w:rFonts w:ascii="方正小标宋简体" w:eastAsia="方正小标宋简体"/>
          <w:b w:val="0"/>
          <w:bCs w:val="0"/>
          <w:color w:val="000000"/>
          <w:sz w:val="36"/>
          <w:szCs w:val="36"/>
        </w:rPr>
      </w:pPr>
      <w:r/>
      <w:bookmarkStart w:id="78" w:name="_Toc24819"/>
      <w:r>
        <w:rPr>
          <w:rFonts w:hint="eastAsia" w:ascii="方正小标宋简体" w:eastAsia="方正小标宋简体" w:cs="方正小标宋简体"/>
          <w:b w:val="0"/>
          <w:bCs w:val="0"/>
          <w:color w:val="000000"/>
          <w:sz w:val="36"/>
          <w:szCs w:val="36"/>
          <w:lang w:eastAsia="zh-CN"/>
        </w:rPr>
        <w:t xml:space="preserve">创建</w:t>
      </w:r>
      <w:r>
        <w:rPr>
          <w:rFonts w:hint="eastAsia" w:ascii="方正小标宋简体" w:eastAsia="方正小标宋简体" w:cs="方正小标宋简体"/>
          <w:b w:val="0"/>
          <w:bCs w:val="0"/>
          <w:color w:val="000000"/>
          <w:sz w:val="36"/>
          <w:szCs w:val="36"/>
        </w:rPr>
        <w:t xml:space="preserve">全国文明城市</w:t>
      </w:r>
      <w:bookmarkEnd w:id="78"/>
      <w:r>
        <w:rPr>
          <w:rFonts w:ascii="方正小标宋简体" w:eastAsia="方正小标宋简体"/>
          <w:b w:val="0"/>
          <w:bCs w:val="0"/>
          <w:color w:val="000000"/>
          <w:sz w:val="36"/>
          <w:szCs w:val="36"/>
        </w:rPr>
      </w:r>
      <w:r>
        <w:rPr>
          <w:rFonts w:ascii="方正小标宋简体" w:eastAsia="方正小标宋简体"/>
          <w:b w:val="0"/>
          <w:bCs w:val="0"/>
          <w:color w:val="000000"/>
          <w:sz w:val="36"/>
          <w:szCs w:val="36"/>
        </w:rPr>
      </w:r>
    </w:p>
    <w:p>
      <w:pPr>
        <w:pStyle w:val="737"/>
        <w:pBdr/>
        <w:spacing/>
        <w:ind w:firstLine="640"/>
        <w:rPr>
          <w:color w:val="000000"/>
        </w:rPr>
      </w:pPr>
      <w:r>
        <w:rPr>
          <w:color w:val="000000"/>
        </w:rPr>
      </w:r>
      <w:r>
        <w:rPr>
          <w:color w:val="000000"/>
        </w:rPr>
      </w:r>
    </w:p>
    <w:p>
      <w:pPr>
        <w:pStyle w:val="737"/>
        <w:pBdr/>
        <w:spacing/>
        <w:ind w:firstLine="640"/>
        <w:rPr>
          <w:color w:val="000000"/>
        </w:rPr>
      </w:pPr>
      <w:r>
        <w:rPr>
          <w:rFonts w:hint="eastAsia" w:cs="仿宋_GB2312"/>
          <w:color w:val="000000"/>
        </w:rPr>
        <w:t xml:space="preserve">坚持马克思主义在意识形态领域的指导地位，坚定文化自信，坚持以社会主义核心价值观引领文化建设，加强社会主义精神文明建设，促进满足人民文化需求和增强人民精神力量相统一，加快建设文化强市，提高社会文明程度，提升公共文化服务水平，健全现代文化产业体系，创建全国文明城市。</w:t>
      </w:r>
      <w:r>
        <w:rPr>
          <w:color w:val="000000"/>
        </w:rPr>
      </w:r>
      <w:r>
        <w:rPr>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bookmarkStart w:id="79" w:name="_Toc15724"/>
      <w:r>
        <w:rPr>
          <w:rFonts w:hint="eastAsia" w:ascii="黑体" w:hAnsi="黑体" w:eastAsia="黑体" w:cs="黑体"/>
          <w:b w:val="0"/>
          <w:bCs w:val="0"/>
          <w:color w:val="000000"/>
        </w:rPr>
        <w:t xml:space="preserve">一、全面提高公民文明素质</w:t>
      </w:r>
      <w:bookmarkEnd w:id="79"/>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line="560" w:lineRule="exact"/>
        <w:ind w:firstLine="640"/>
        <w:rPr>
          <w:color w:val="000000"/>
        </w:rPr>
      </w:pPr>
      <w:r>
        <w:rPr>
          <w:rFonts w:hint="eastAsia" w:cs="仿宋_GB2312"/>
          <w:color w:val="000000"/>
        </w:rPr>
        <w:t xml:space="preserve">以社会主义核心价值观为引领，以德育人、以文化人，加强思想道德和社会诚信建设，弘扬传统美德和时代新风，全面提高公民素质和社会文明程度。</w:t>
      </w:r>
      <w:r>
        <w:rPr>
          <w:color w:val="000000"/>
        </w:rPr>
      </w:r>
      <w:r>
        <w:rPr>
          <w:color w:val="000000"/>
        </w:rPr>
      </w:r>
    </w:p>
    <w:p>
      <w:pPr>
        <w:pStyle w:val="737"/>
        <w:pBdr/>
        <w:spacing w:line="560" w:lineRule="exact"/>
        <w:ind w:firstLine="643"/>
        <w:rPr>
          <w:color w:val="000000"/>
        </w:rPr>
      </w:pPr>
      <w:r>
        <w:rPr>
          <w:rFonts w:hint="eastAsia" w:ascii="楷体_GB2312" w:hAnsi="楷体_GB2312" w:eastAsia="楷体_GB2312" w:cs="楷体_GB2312"/>
          <w:b/>
          <w:bCs/>
          <w:color w:val="000000"/>
        </w:rPr>
        <w:t xml:space="preserve">培育和践行社会主义核心价值观</w:t>
      </w:r>
      <w:r>
        <w:rPr>
          <w:rFonts w:hint="eastAsia"/>
          <w:b/>
          <w:bCs/>
          <w:color w:val="000000"/>
        </w:rPr>
        <w:t xml:space="preserve">。</w:t>
      </w:r>
      <w:r>
        <w:rPr>
          <w:rFonts w:hint="eastAsia" w:cs="仿宋_GB2312"/>
          <w:color w:val="000000"/>
          <w:lang w:val="en-US"/>
        </w:rPr>
        <w:t xml:space="preserve">通过教育引导、舆论宣传、文化熏陶、行为实践、制度保障，推动社会主义核心价值观内化于心、外化于行。坚持和完善</w:t>
      </w:r>
      <w:r>
        <w:rPr>
          <w:rFonts w:hint="eastAsia" w:cs="仿宋_GB2312"/>
          <w:color w:val="000000"/>
        </w:rPr>
        <w:t xml:space="preserve">“思想引领、学习在先”</w:t>
      </w:r>
      <w:r>
        <w:rPr>
          <w:rFonts w:hint="eastAsia" w:cs="仿宋_GB2312"/>
          <w:color w:val="000000"/>
          <w:lang w:val="en-US"/>
        </w:rPr>
        <w:t xml:space="preserve">机制，深化党的创新理论学习教育</w:t>
      </w:r>
      <w:r>
        <w:rPr>
          <w:rFonts w:hint="eastAsia" w:cs="仿宋_GB2312"/>
          <w:color w:val="000000"/>
        </w:rPr>
        <w:t xml:space="preserve">，推动学习贯彻习近平新时代中国特色社会主义思想常态化制度化。</w:t>
      </w:r>
      <w:r>
        <w:rPr>
          <w:rFonts w:hint="eastAsia" w:cs="仿宋_GB2312"/>
          <w:color w:val="000000"/>
          <w:lang w:val="en-US"/>
        </w:rPr>
        <w:t xml:space="preserve">深入</w:t>
      </w:r>
      <w:r>
        <w:rPr>
          <w:rFonts w:hint="eastAsia" w:cs="仿宋_GB2312"/>
          <w:color w:val="000000"/>
        </w:rPr>
        <w:t xml:space="preserve">贯彻落实《新时代爱国主义教育实施纲要》《新时代公民道德建设实施纲要》，</w:t>
      </w:r>
      <w:r>
        <w:rPr>
          <w:rFonts w:cs="仿宋_GB2312"/>
          <w:color w:val="000000"/>
          <w:lang w:val="en-US"/>
        </w:rPr>
        <w:t xml:space="preserve">加强党史、新中国史、改革开放史、社会主义发展史教育，</w:t>
      </w:r>
      <w:r>
        <w:rPr>
          <w:rFonts w:hint="eastAsia" w:cs="仿宋_GB2312"/>
          <w:color w:val="000000"/>
        </w:rPr>
        <w:t xml:space="preserve">加强社会公德、职业道德、家庭美德、个人品德建设</w:t>
      </w:r>
      <w:r>
        <w:rPr>
          <w:rFonts w:hint="eastAsia" w:cs="仿宋_GB2312"/>
          <w:color w:val="000000"/>
          <w:lang w:val="en-US"/>
        </w:rPr>
        <w:t xml:space="preserve">和</w:t>
      </w:r>
      <w:r>
        <w:rPr>
          <w:rFonts w:hint="eastAsia" w:cs="仿宋_GB2312"/>
          <w:color w:val="000000"/>
        </w:rPr>
        <w:t xml:space="preserve">爱国主义、集体主义、社会主义宣传教育，持续讲好随州抗疫故事，弘扬伟大抗疫精神</w:t>
      </w:r>
      <w:r>
        <w:rPr>
          <w:rFonts w:hint="eastAsia" w:cs="仿宋_GB2312"/>
          <w:color w:val="000000"/>
          <w:lang w:eastAsia="zh-CN"/>
        </w:rPr>
        <w:t xml:space="preserve">，</w:t>
      </w:r>
      <w:r>
        <w:rPr>
          <w:rFonts w:cs="仿宋_GB2312"/>
          <w:color w:val="000000"/>
        </w:rPr>
        <w:t xml:space="preserve">引导树立正确的历史观、民族观、国家观、文化观，推动形成团结一心的精神纽带和自强不息的精神动力</w:t>
      </w:r>
      <w:r>
        <w:rPr>
          <w:rFonts w:hint="eastAsia" w:cs="仿宋_GB2312"/>
          <w:color w:val="000000"/>
        </w:rPr>
        <w:t xml:space="preserve">。</w:t>
      </w:r>
      <w:r>
        <w:rPr>
          <w:rFonts w:cs="仿宋_GB2312"/>
          <w:color w:val="000000"/>
        </w:rPr>
        <w:t xml:space="preserve">加强和改进学校思想政治教育，提升教师思想政治教育水平，完善青少年理想信念教育齐抓共管机制。</w:t>
      </w:r>
      <w:r>
        <w:rPr>
          <w:rFonts w:hint="eastAsia" w:cs="仿宋_GB2312"/>
          <w:color w:val="000000"/>
          <w:lang w:val="en-US"/>
        </w:rPr>
        <w:t xml:space="preserve">深入推进新时代文明实践中心和县级融媒体中心建设，着力打通宣传群众、教育群众、关心群众、服务群众“最后一公里”。深入开展文明城市、文明村镇、文明单位、文明家庭、文明校园等群众性精神文明创建活动和</w:t>
      </w:r>
      <w:r>
        <w:rPr>
          <w:rFonts w:hint="eastAsia" w:cs="仿宋_GB2312"/>
          <w:color w:val="000000"/>
          <w:lang w:val="en-US" w:eastAsia="zh-CN"/>
        </w:rPr>
        <w:t xml:space="preserve">青少年</w:t>
      </w:r>
      <w:r>
        <w:rPr>
          <w:rFonts w:hint="eastAsia" w:cs="仿宋_GB2312"/>
          <w:color w:val="000000"/>
          <w:lang w:val="en-US"/>
        </w:rPr>
        <w:t xml:space="preserve">思想道德建设，持续深化诚信制度化建设</w:t>
      </w:r>
      <w:r>
        <w:rPr>
          <w:rFonts w:hint="eastAsia" w:cs="仿宋_GB2312"/>
          <w:color w:val="000000"/>
          <w:lang w:val="en-US" w:eastAsia="zh-CN"/>
        </w:rPr>
        <w:t xml:space="preserve">，开展</w:t>
      </w:r>
      <w:r>
        <w:rPr>
          <w:rFonts w:hint="eastAsia" w:cs="仿宋_GB2312"/>
          <w:color w:val="000000"/>
          <w:lang w:val="en-US"/>
        </w:rPr>
        <w:t xml:space="preserve">文明交通、文明旅游、文明餐桌、文明上网等文明引导行动。</w:t>
      </w:r>
      <w:r>
        <w:rPr>
          <w:rFonts w:hint="eastAsia" w:cs="仿宋_GB2312"/>
          <w:color w:val="000000"/>
        </w:rPr>
        <w:t xml:space="preserve">广泛开展</w:t>
      </w:r>
      <w:r>
        <w:rPr>
          <w:rFonts w:hint="eastAsia" w:cs="仿宋_GB2312"/>
          <w:color w:val="000000"/>
          <w:lang w:val="en-US"/>
        </w:rPr>
        <w:t xml:space="preserve">道德模范、身边好人、先进楷模等各类先进典型选树和学习宣传活动，持续营造崇善向好、见贤思齐的良好氛围。积极推进志愿服务制度化建设</w:t>
      </w:r>
      <w:r>
        <w:rPr>
          <w:rFonts w:hint="eastAsia" w:cs="仿宋_GB2312"/>
          <w:color w:val="000000"/>
          <w:lang w:val="en-US" w:eastAsia="zh-CN"/>
        </w:rPr>
        <w:t xml:space="preserve">和</w:t>
      </w:r>
      <w:r>
        <w:rPr>
          <w:rFonts w:hint="eastAsia" w:cs="仿宋_GB2312"/>
          <w:color w:val="000000"/>
          <w:lang w:val="en-US"/>
        </w:rPr>
        <w:t xml:space="preserve">志愿服务平台建设，建立健全志愿服务激励机制，常态化开展各类志愿服务活动，形成“</w:t>
      </w:r>
      <w:r>
        <w:rPr>
          <w:rFonts w:cs="仿宋_GB2312"/>
          <w:color w:val="000000"/>
          <w:lang w:val="en-US"/>
        </w:rPr>
        <w:t xml:space="preserve">我为人人、人人为我</w:t>
      </w:r>
      <w:r>
        <w:rPr>
          <w:rFonts w:hint="eastAsia" w:cs="仿宋_GB2312"/>
          <w:color w:val="000000"/>
          <w:lang w:val="en-US"/>
        </w:rPr>
        <w:t xml:space="preserve">”</w:t>
      </w:r>
      <w:r>
        <w:rPr>
          <w:rFonts w:cs="仿宋_GB2312"/>
          <w:color w:val="000000"/>
          <w:lang w:val="en-US"/>
        </w:rPr>
        <w:t xml:space="preserve">的良好社会风尚</w:t>
      </w:r>
      <w:r>
        <w:rPr>
          <w:rFonts w:hint="eastAsia" w:cs="仿宋_GB2312"/>
          <w:color w:val="000000"/>
          <w:lang w:val="en-US"/>
        </w:rPr>
        <w:t xml:space="preserve">。</w:t>
      </w:r>
      <w:r>
        <w:rPr>
          <w:color w:val="000000"/>
        </w:rPr>
      </w:r>
      <w:r>
        <w:rPr>
          <w:color w:val="000000"/>
        </w:rPr>
      </w:r>
    </w:p>
    <w:p>
      <w:pPr>
        <w:pStyle w:val="737"/>
        <w:pBdr/>
        <w:spacing/>
        <w:ind w:firstLine="643"/>
        <w:rPr>
          <w:rFonts w:hint="eastAsia" w:ascii="楷体_GB2312" w:eastAsia="楷体_GB2312" w:cs="楷体_GB2312"/>
          <w:color w:val="000000"/>
        </w:rPr>
      </w:pPr>
      <w:r>
        <w:rPr>
          <w:rFonts w:hint="eastAsia" w:ascii="楷体_GB2312" w:hAnsi="楷体_GB2312" w:eastAsia="楷体_GB2312" w:cs="楷体_GB2312"/>
          <w:b/>
          <w:bCs/>
          <w:color w:val="000000"/>
        </w:rPr>
        <w:t xml:space="preserve">继承弘扬优秀传统文化</w:t>
      </w:r>
      <w:r>
        <w:rPr>
          <w:rFonts w:hint="eastAsia" w:cs="仿宋_GB2312"/>
          <w:b/>
          <w:bCs/>
          <w:color w:val="000000"/>
        </w:rPr>
        <w:t xml:space="preserve">。</w:t>
      </w:r>
      <w:r>
        <w:rPr>
          <w:rFonts w:hint="eastAsia" w:cs="仿宋_GB2312"/>
          <w:color w:val="000000"/>
        </w:rPr>
        <w:t xml:space="preserve">加强重点文物保护单位、历史文化名城名镇名村、历史建筑保护，推进文化典籍数字化和整理出版工作。传承发展炎帝文化、编钟文化、曾随文化，全力建设编钟文化产业基地，谋划推动音乐之都、编钟音乐文化创意产业园、中国青铜器修复基地等一批文化产业项目，打造国家青铜文化展示中心。加强非物质文化遗产保护传承，振兴传统工艺。鼓励举办体现民俗、民间特色的各类群众文化活动。深入挖掘红色文化资源，加大革命和社会主义建设纪念设施、遗址的保护力度，培育和弘扬爱国主义精神。</w:t>
      </w:r>
      <w:r>
        <w:rPr>
          <w:rFonts w:hint="eastAsia" w:ascii="楷体_GB2312" w:eastAsia="楷体_GB2312" w:cs="楷体_GB2312"/>
          <w:color w:val="000000"/>
        </w:rPr>
      </w:r>
      <w:r>
        <w:rPr>
          <w:rFonts w:hint="eastAsia" w:ascii="楷体_GB2312" w:eastAsia="楷体_GB2312" w:cs="楷体_GB2312"/>
          <w:color w:val="000000"/>
        </w:rPr>
      </w:r>
    </w:p>
    <w:p>
      <w:pPr>
        <w:pStyle w:val="739"/>
        <w:pBdr/>
        <w:spacing/>
        <w:ind w:firstLine="720"/>
        <w:rPr>
          <w:rFonts w:hint="eastAsia" w:ascii="黑体" w:hAnsi="黑体" w:eastAsia="黑体" w:cs="黑体"/>
          <w:b w:val="0"/>
          <w:bCs w:val="0"/>
          <w:color w:val="000000"/>
        </w:rPr>
      </w:pPr>
      <w:r/>
      <w:bookmarkStart w:id="80" w:name="_Toc9905"/>
      <w:r>
        <w:rPr>
          <w:rFonts w:hint="eastAsia" w:ascii="黑体" w:hAnsi="黑体" w:eastAsia="黑体" w:cs="黑体"/>
          <w:b w:val="0"/>
          <w:bCs w:val="0"/>
          <w:color w:val="000000"/>
        </w:rPr>
        <w:t xml:space="preserve">二、丰富文化产品和服务</w:t>
      </w:r>
      <w:bookmarkEnd w:id="80"/>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color w:val="000000"/>
        </w:rPr>
      </w:pPr>
      <w:r>
        <w:rPr>
          <w:rFonts w:hint="eastAsia" w:cs="仿宋_GB2312"/>
          <w:color w:val="000000"/>
        </w:rPr>
        <w:t xml:space="preserve">推进文化事业和文化产业双轮驱动，实施重大文化工程，完善公共文化服务体系、文化产业体系、文化市场体系，提升文化发展水平。</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构建现代公共文化服务体系</w:t>
      </w:r>
      <w:r>
        <w:rPr>
          <w:rFonts w:hint="eastAsia" w:cs="仿宋_GB2312"/>
          <w:b/>
          <w:bCs/>
          <w:color w:val="000000"/>
        </w:rPr>
        <w:t xml:space="preserve">。</w:t>
      </w:r>
      <w:r>
        <w:rPr>
          <w:rFonts w:hint="eastAsia" w:cs="仿宋_GB2312"/>
          <w:color w:val="000000"/>
        </w:rPr>
        <w:t xml:space="preserve">实施文化惠民工程，健全公共文化服务体系，重点建设编钟大剧院、编钟博物馆等一批重大文化项目，</w:t>
      </w:r>
      <w:r>
        <w:rPr>
          <w:rFonts w:hint="eastAsia" w:cs="仿宋_GB2312"/>
          <w:color w:val="000000"/>
          <w:lang w:eastAsia="zh-CN"/>
        </w:rPr>
        <w:t xml:space="preserve">完善</w:t>
      </w:r>
      <w:r>
        <w:rPr>
          <w:rFonts w:hint="eastAsia" w:cs="仿宋_GB2312"/>
          <w:color w:val="000000"/>
        </w:rPr>
        <w:t xml:space="preserve">农村文化站和图书室等农村文化设施。统筹建设集宣传文化、党员教育、科技普及、普法教育、体育健身等多功能于一体的基层综合性公共文化服务中心。建立重大文化惠民项目群众评价和反馈机制，推动文化产品、惠民服务与群众文化需求对接。创新公共文化服务方式，推进政府向社会力量购买公共文化服务。加强公共文化服务数字化建设，提升公共文化服务现代传播能力。完善文化设施免费开放保障机制。繁荣发展新闻出版、广播影视等事业，加强档案、史志等工作。</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加快发展现代文化产业</w:t>
      </w:r>
      <w:r>
        <w:rPr>
          <w:rFonts w:hint="eastAsia" w:cs="仿宋_GB2312"/>
          <w:b/>
          <w:bCs/>
          <w:color w:val="000000"/>
        </w:rPr>
        <w:t xml:space="preserve">。</w:t>
      </w:r>
      <w:r>
        <w:rPr>
          <w:rFonts w:hint="eastAsia" w:cs="仿宋_GB2312"/>
          <w:color w:val="000000"/>
        </w:rPr>
        <w:t xml:space="preserve">大力发展网络视听、移动多媒体、数字出版、动漫游戏、创意设计等新兴产业，推动出版发行、工艺美术等传统产业转型升级。</w:t>
      </w:r>
      <w:r>
        <w:rPr>
          <w:rFonts w:hint="eastAsia" w:cs="仿宋_GB2312"/>
          <w:color w:val="000000"/>
          <w:lang w:eastAsia="zh-CN"/>
        </w:rPr>
        <w:t xml:space="preserve">促进</w:t>
      </w:r>
      <w:r>
        <w:rPr>
          <w:rFonts w:hint="eastAsia" w:cs="仿宋_GB2312"/>
          <w:color w:val="000000"/>
        </w:rPr>
        <w:t xml:space="preserve">文化与网络深度融合，</w:t>
      </w:r>
      <w:r>
        <w:rPr>
          <w:rFonts w:hint="eastAsia" w:cs="仿宋_GB2312"/>
          <w:color w:val="000000"/>
          <w:lang w:eastAsia="zh-CN"/>
        </w:rPr>
        <w:t xml:space="preserve">推动形成</w:t>
      </w:r>
      <w:r>
        <w:rPr>
          <w:rFonts w:hint="eastAsia" w:cs="仿宋_GB2312"/>
          <w:color w:val="000000"/>
        </w:rPr>
        <w:t xml:space="preserve">以移动互联网、云计算、大数据、物联网等新技术促进文化创意产业</w:t>
      </w:r>
      <w:r>
        <w:rPr>
          <w:rFonts w:hint="eastAsia" w:cs="仿宋_GB2312"/>
          <w:color w:val="000000"/>
          <w:lang w:eastAsia="zh-CN"/>
        </w:rPr>
        <w:t xml:space="preserve">发展的新</w:t>
      </w:r>
      <w:r>
        <w:rPr>
          <w:rFonts w:hint="eastAsia" w:cs="仿宋_GB2312"/>
          <w:color w:val="000000"/>
        </w:rPr>
        <w:t xml:space="preserve">模式</w:t>
      </w:r>
      <w:r>
        <w:rPr>
          <w:rFonts w:hint="eastAsia" w:cs="仿宋_GB2312"/>
          <w:color w:val="000000"/>
          <w:lang w:eastAsia="zh-CN"/>
        </w:rPr>
        <w:t xml:space="preserve">、新</w:t>
      </w:r>
      <w:r>
        <w:rPr>
          <w:rFonts w:hint="eastAsia" w:cs="仿宋_GB2312"/>
          <w:color w:val="000000"/>
        </w:rPr>
        <w:t xml:space="preserve">业态。加快文化产业示范园区和基地建设，</w:t>
      </w:r>
      <w:r>
        <w:rPr>
          <w:rFonts w:hint="eastAsia" w:cs="仿宋_GB2312"/>
          <w:color w:val="000000"/>
          <w:lang w:eastAsia="zh-CN"/>
        </w:rPr>
        <w:t xml:space="preserve">实施</w:t>
      </w:r>
      <w:r>
        <w:rPr>
          <w:rFonts w:hint="eastAsia" w:cs="仿宋_GB2312"/>
          <w:color w:val="000000"/>
        </w:rPr>
        <w:t xml:space="preserve">一批市场前景好、关联程度高的重点文化产业项目，培育一批具有核心竞争力的大型文化企业集团，积极扶持中小微文化企业发展。</w:t>
      </w:r>
      <w:r>
        <w:rPr>
          <w:rFonts w:hint="eastAsia" w:hAnsi="仿宋" w:cs="仿宋"/>
        </w:rPr>
        <w:t xml:space="preserve">探索文化旅游融合发展新模式，打造一批文旅综合体、文旅融合品牌、文旅消费聚集区。</w:t>
      </w:r>
      <w:r>
        <w:rPr>
          <w:color w:val="000000"/>
        </w:rPr>
      </w:r>
      <w:r>
        <w:rPr>
          <w:color w:val="000000"/>
        </w:rPr>
      </w:r>
    </w:p>
    <w:tbl>
      <w:tblPr>
        <w:tblW w:w="0" w:type="auto"/>
        <w:tblInd w:w="-1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4A0" w:firstRow="1" w:lastRow="0" w:firstColumn="1" w:lastColumn="0" w:noHBand="0" w:noVBand="1"/>
      </w:tblPr>
      <w:tblGrid>
        <w:gridCol w:w="8834"/>
      </w:tblGrid>
      <w:tr>
        <w:trPr/>
        <w:tc>
          <w:tcPr>
            <w:tcBorders/>
            <w:tcW w:w="8834" w:type="dxa"/>
            <w:vAlign w:val="top"/>
            <w:textDirection w:val="lrTb"/>
            <w:noWrap w:val="false"/>
          </w:tcPr>
          <w:p>
            <w:pPr>
              <w:pStyle w:val="797"/>
              <w:pBdr/>
              <w:spacing/>
              <w:ind w:firstLine="562"/>
              <w:jc w:val="center"/>
              <w:rPr>
                <w:rFonts w:hint="eastAsia"/>
                <w:b/>
                <w:bCs/>
                <w:color w:val="000000"/>
              </w:rPr>
            </w:pPr>
            <w:r>
              <w:rPr>
                <w:rFonts w:hint="eastAsia" w:cs="宋体"/>
                <w:b/>
                <w:bCs/>
                <w:color w:val="000000"/>
                <w:sz w:val="28"/>
                <w:szCs w:val="28"/>
              </w:rPr>
              <w:t xml:space="preserve">专栏十：</w:t>
            </w:r>
            <w:r>
              <w:rPr>
                <w:b/>
                <w:bCs/>
                <w:color w:val="000000"/>
                <w:sz w:val="28"/>
                <w:szCs w:val="28"/>
              </w:rPr>
              <w:t xml:space="preserve">“</w:t>
            </w:r>
            <w:r>
              <w:rPr>
                <w:rFonts w:hint="eastAsia" w:cs="宋体"/>
                <w:b/>
                <w:bCs/>
                <w:color w:val="000000"/>
                <w:sz w:val="28"/>
                <w:szCs w:val="28"/>
              </w:rPr>
              <w:t xml:space="preserve">一地一廊四区</w:t>
            </w:r>
            <w:r>
              <w:rPr>
                <w:b/>
                <w:bCs/>
                <w:color w:val="000000"/>
                <w:sz w:val="28"/>
                <w:szCs w:val="28"/>
              </w:rPr>
              <w:t xml:space="preserve">”</w:t>
            </w:r>
            <w:r>
              <w:rPr>
                <w:rFonts w:hint="eastAsia" w:cs="宋体"/>
                <w:b/>
                <w:bCs/>
                <w:color w:val="000000"/>
                <w:sz w:val="28"/>
                <w:szCs w:val="28"/>
              </w:rPr>
              <w:t xml:space="preserve">文化产业布局</w:t>
            </w:r>
            <w:r>
              <w:rPr>
                <w:rFonts w:hint="eastAsia"/>
                <w:b/>
                <w:bCs/>
                <w:color w:val="000000"/>
              </w:rPr>
            </w:r>
            <w:r>
              <w:rPr>
                <w:rFonts w:hint="eastAsia"/>
                <w:b/>
                <w:bCs/>
                <w:color w:val="000000"/>
              </w:rPr>
            </w:r>
          </w:p>
        </w:tc>
      </w:tr>
      <w:tr>
        <w:trPr/>
        <w:tc>
          <w:tcPr>
            <w:tcBorders/>
            <w:tcW w:w="8834" w:type="dxa"/>
            <w:vAlign w:val="top"/>
            <w:textDirection w:val="lrTb"/>
            <w:noWrap w:val="false"/>
          </w:tcPr>
          <w:p>
            <w:pPr>
              <w:pStyle w:val="797"/>
              <w:pBdr/>
              <w:spacing/>
              <w:ind w:firstLine="482"/>
              <w:rPr>
                <w:rFonts w:hint="eastAsia"/>
                <w:color w:val="000000"/>
                <w:sz w:val="24"/>
                <w:szCs w:val="24"/>
              </w:rPr>
            </w:pPr>
            <w:r>
              <w:rPr>
                <w:rFonts w:hint="eastAsia"/>
                <w:b/>
                <w:bCs/>
                <w:color w:val="000000"/>
                <w:sz w:val="24"/>
                <w:szCs w:val="24"/>
              </w:rPr>
              <w:t xml:space="preserve">“一地”。</w:t>
            </w:r>
            <w:r>
              <w:rPr>
                <w:rFonts w:hint="eastAsia"/>
                <w:color w:val="000000"/>
                <w:sz w:val="24"/>
                <w:szCs w:val="24"/>
              </w:rPr>
              <w:t xml:space="preserve">即世界华人寻根谒祖圣地。通过拓展炎帝文化内涵、增加寻根谒祖业态、丰富农耕体验记忆、深化国际文化交流，把炎帝故里固化为世界华人向往的寻根谒祖文化圣地。</w:t>
            </w:r>
            <w:r>
              <w:rPr>
                <w:rFonts w:hint="eastAsia"/>
                <w:color w:val="000000"/>
                <w:sz w:val="24"/>
                <w:szCs w:val="24"/>
              </w:rPr>
            </w:r>
            <w:r>
              <w:rPr>
                <w:rFonts w:hint="eastAsia"/>
                <w:color w:val="000000"/>
                <w:sz w:val="24"/>
                <w:szCs w:val="24"/>
              </w:rPr>
            </w:r>
          </w:p>
          <w:p>
            <w:pPr>
              <w:pStyle w:val="797"/>
              <w:pBdr/>
              <w:spacing/>
              <w:ind w:firstLine="482"/>
              <w:rPr>
                <w:b/>
                <w:bCs/>
                <w:color w:val="000000"/>
                <w:sz w:val="24"/>
                <w:szCs w:val="24"/>
              </w:rPr>
            </w:pPr>
            <w:r>
              <w:rPr>
                <w:rFonts w:hint="eastAsia"/>
                <w:b/>
                <w:bCs/>
                <w:color w:val="000000"/>
                <w:sz w:val="24"/>
                <w:szCs w:val="24"/>
              </w:rPr>
              <w:t xml:space="preserve">“一廊”。</w:t>
            </w:r>
            <w:r>
              <w:rPr>
                <w:rFonts w:hint="eastAsia"/>
                <w:color w:val="000000"/>
                <w:sz w:val="24"/>
                <w:szCs w:val="24"/>
              </w:rPr>
              <w:t xml:space="preserve">即曾随文化遗址走廊。以庙台子遗址、叶家山墓地、义地岗古墓群、擂鼓墩古墓群、安居遗址（包括安居城址和羊子山墓群）四处考古遗址为依托</w:t>
            </w:r>
            <w:r>
              <w:rPr>
                <w:rFonts w:hint="eastAsia"/>
                <w:color w:val="000000"/>
                <w:sz w:val="24"/>
                <w:szCs w:val="24"/>
                <w:lang w:eastAsia="zh-CN"/>
              </w:rPr>
              <w:t xml:space="preserve">，</w:t>
            </w:r>
            <w:r>
              <w:rPr>
                <w:rFonts w:hint="eastAsia"/>
                <w:color w:val="000000"/>
                <w:sz w:val="24"/>
                <w:szCs w:val="24"/>
              </w:rPr>
              <w:t xml:space="preserve">打造考古遗址公园，形成一条曾随文化遗址走廊。</w:t>
            </w:r>
            <w:r>
              <w:rPr>
                <w:b/>
                <w:bCs/>
                <w:color w:val="000000"/>
                <w:sz w:val="24"/>
                <w:szCs w:val="24"/>
              </w:rPr>
            </w:r>
            <w:r>
              <w:rPr>
                <w:b/>
                <w:bCs/>
                <w:color w:val="000000"/>
                <w:sz w:val="24"/>
                <w:szCs w:val="24"/>
              </w:rPr>
            </w:r>
          </w:p>
          <w:p>
            <w:pPr>
              <w:pStyle w:val="797"/>
              <w:pBdr/>
              <w:spacing/>
              <w:ind w:firstLine="482"/>
              <w:rPr>
                <w:b/>
                <w:bCs/>
                <w:color w:val="000000"/>
              </w:rPr>
            </w:pPr>
            <w:r>
              <w:rPr>
                <w:rFonts w:hint="eastAsia"/>
                <w:b/>
                <w:bCs/>
                <w:color w:val="000000"/>
                <w:sz w:val="24"/>
                <w:szCs w:val="24"/>
              </w:rPr>
              <w:t xml:space="preserve">“四区”。</w:t>
            </w:r>
            <w:r>
              <w:rPr>
                <w:rFonts w:hint="eastAsia"/>
                <w:color w:val="000000"/>
                <w:sz w:val="24"/>
                <w:szCs w:val="24"/>
              </w:rPr>
              <w:t xml:space="preserve">围绕卓尔青铜古镇、编钟音乐之都、琵琶古城、公共活动中心、城市（工业）记忆小镇、奥林匹克体育中心等项目，建设城市文化旅游核心区；围绕大洪山深厚的文化底蕴和独特的银杏、溶洞、温泉等自然资源，建设生态文化旅游示范区；围绕随县桐柏山田王寨、抱朴谷、神农部落、尚市桃花、牡丹和万和兰花，建设休闲体验旅游区；围绕广水印台山、武胜关、中华山、徐家河、马坪詹王故里，建设生态文化观光区。</w:t>
            </w:r>
            <w:r>
              <w:rPr>
                <w:b/>
                <w:bCs/>
                <w:color w:val="000000"/>
              </w:rPr>
            </w:r>
            <w:r>
              <w:rPr>
                <w:b/>
                <w:bCs/>
                <w:color w:val="000000"/>
              </w:rPr>
            </w:r>
          </w:p>
        </w:tc>
      </w:tr>
    </w:tbl>
    <w:p>
      <w:pPr>
        <w:pStyle w:val="737"/>
        <w:pBdr/>
        <w:spacing/>
        <w:ind w:firstLine="640"/>
        <w:rPr>
          <w:color w:val="000000"/>
        </w:rPr>
      </w:pP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深化文化体制改革</w:t>
      </w:r>
      <w:r>
        <w:rPr>
          <w:rFonts w:hint="eastAsia" w:cs="仿宋_GB2312"/>
          <w:b/>
          <w:bCs/>
          <w:color w:val="000000"/>
        </w:rPr>
        <w:t xml:space="preserve">。</w:t>
      </w:r>
      <w:r>
        <w:rPr>
          <w:rFonts w:hint="eastAsia" w:cs="仿宋_GB2312"/>
          <w:color w:val="000000"/>
        </w:rPr>
        <w:t xml:space="preserve">加快完善党委领导、政府管理、行业自律、社会监督、企事业单位依法运营的文化管理体制。深化公益性文化事业单位改革，推动建立法人治理结构，强化服务功能。培育和发展文化类社会组织。引导社会资本以多种形式投资文化产业。健全现代文化市场体系，完善市场监管体系，提高综合执法能力。健全网络文化管理体制机制，牢牢掌握网络舆论工作的主导权。</w:t>
      </w:r>
      <w:r>
        <w:rPr>
          <w:color w:val="000000"/>
        </w:rPr>
      </w:r>
      <w:r>
        <w:rPr>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bookmarkStart w:id="81" w:name="_Toc22018"/>
      <w:r>
        <w:rPr>
          <w:rFonts w:hint="eastAsia" w:ascii="黑体" w:hAnsi="黑体" w:eastAsia="黑体" w:cs="黑体"/>
          <w:b w:val="0"/>
          <w:bCs w:val="0"/>
          <w:color w:val="000000"/>
        </w:rPr>
        <w:t xml:space="preserve">三、增强随州文化影响力</w:t>
      </w:r>
      <w:bookmarkEnd w:id="81"/>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color w:val="000000"/>
        </w:rPr>
      </w:pPr>
      <w:r>
        <w:rPr>
          <w:rFonts w:hint="eastAsia" w:cs="仿宋_GB2312"/>
          <w:color w:val="000000"/>
        </w:rPr>
        <w:t xml:space="preserve">充分挖掘和传承地域优秀传统文化资源，积极与国内外权威机构和主流媒体合作，整合传播资源，优化传播平台，讲好随州故事、传播随州声音。创新世界华人炎帝故里寻根节举办模式和机制，积极探索多主体联办、多活动套办和多形式活化、多途径市场化的路子，将炎帝文化、世界华人炎帝故里寻根节打造成湖北省第一文化品牌、全国知名文化品牌，提高城市知名度和美誉度。</w:t>
      </w:r>
      <w:r>
        <w:rPr>
          <w:color w:val="000000"/>
        </w:rPr>
        <w:br w:type="page" w:clear="all"/>
      </w:r>
      <w:r>
        <w:rPr>
          <w:color w:val="000000"/>
        </w:rPr>
      </w:r>
      <w:r>
        <w:rPr>
          <w:color w:val="000000"/>
        </w:rPr>
      </w:r>
    </w:p>
    <w:p>
      <w:pPr>
        <w:pStyle w:val="737"/>
        <w:pBdr/>
        <w:spacing/>
        <w:ind w:firstLine="0"/>
        <w:rPr>
          <w:color w:val="000000"/>
          <w:sz w:val="36"/>
          <w:szCs w:val="36"/>
        </w:rPr>
      </w:pPr>
      <w:r>
        <w:rPr>
          <w:color w:val="000000"/>
          <w:sz w:val="36"/>
          <w:szCs w:val="36"/>
        </w:rPr>
      </w:r>
      <w:r>
        <w:rPr>
          <w:color w:val="000000"/>
          <w:sz w:val="36"/>
          <w:szCs w:val="36"/>
        </w:rPr>
      </w:r>
    </w:p>
    <w:p>
      <w:pPr>
        <w:pStyle w:val="738"/>
        <w:pBdr/>
        <w:spacing/>
        <w:ind/>
        <w:rPr>
          <w:rFonts w:hint="eastAsia" w:eastAsia="仿宋_GB2312"/>
          <w:color w:val="000000"/>
        </w:rPr>
      </w:pPr>
      <w:r>
        <w:rPr>
          <w:rFonts w:hint="eastAsia" w:ascii="方正小标宋简体" w:eastAsia="方正小标宋简体" w:cs="方正小标宋简体"/>
          <w:b w:val="0"/>
          <w:bCs w:val="0"/>
          <w:color w:val="000000"/>
          <w:sz w:val="36"/>
          <w:szCs w:val="36"/>
        </w:rPr>
        <w:t xml:space="preserve">第十三章</w:t>
      </w:r>
      <w:r>
        <w:rPr>
          <w:rFonts w:ascii="方正小标宋简体" w:eastAsia="方正小标宋简体" w:cs="方正小标宋简体"/>
          <w:b w:val="0"/>
          <w:bCs w:val="0"/>
          <w:color w:val="000000"/>
          <w:sz w:val="36"/>
          <w:szCs w:val="36"/>
        </w:rPr>
        <w:t xml:space="preserve"> </w:t>
      </w:r>
      <w:r>
        <w:rPr>
          <w:rFonts w:hint="eastAsia" w:ascii="方正小标宋简体" w:eastAsia="方正小标宋简体" w:cs="方正小标宋简体"/>
          <w:b w:val="0"/>
          <w:bCs w:val="0"/>
          <w:color w:val="000000"/>
          <w:sz w:val="36"/>
          <w:szCs w:val="36"/>
        </w:rPr>
        <w:t xml:space="preserve">全面提高市民素质</w:t>
      </w:r>
      <w:r>
        <w:rPr>
          <w:rFonts w:hint="eastAsia" w:ascii="方正小标宋简体" w:eastAsia="方正小标宋简体" w:cs="方正小标宋简体"/>
          <w:b w:val="0"/>
          <w:bCs w:val="0"/>
          <w:color w:val="000000"/>
          <w:sz w:val="36"/>
          <w:szCs w:val="36"/>
          <w:lang w:val="en-US"/>
        </w:rPr>
        <w:t xml:space="preserve"> </w:t>
      </w:r>
      <w:r>
        <w:rPr>
          <w:rFonts w:hint="eastAsia" w:ascii="方正小标宋简体" w:eastAsia="方正小标宋简体" w:cs="方正小标宋简体"/>
          <w:b w:val="0"/>
          <w:bCs w:val="0"/>
          <w:color w:val="000000"/>
          <w:sz w:val="36"/>
          <w:szCs w:val="36"/>
        </w:rPr>
        <w:t xml:space="preserve">促进人的全面发展</w:t>
      </w:r>
      <w:r>
        <w:rPr>
          <w:rFonts w:hint="eastAsia" w:eastAsia="仿宋_GB2312"/>
          <w:color w:val="000000"/>
        </w:rPr>
      </w:r>
      <w:r>
        <w:rPr>
          <w:rFonts w:hint="eastAsia" w:eastAsia="仿宋_GB2312"/>
          <w:color w:val="000000"/>
        </w:rPr>
      </w:r>
    </w:p>
    <w:p>
      <w:pPr>
        <w:pStyle w:val="737"/>
        <w:pBdr/>
        <w:spacing/>
        <w:ind w:firstLine="640"/>
        <w:rPr>
          <w:rFonts w:hint="eastAsia" w:cs="仿宋_GB2312"/>
          <w:color w:val="000000"/>
        </w:rPr>
      </w:pPr>
      <w:r>
        <w:rPr>
          <w:rFonts w:hint="eastAsia" w:cs="仿宋_GB2312"/>
          <w:color w:val="000000"/>
        </w:rPr>
      </w:r>
      <w:r>
        <w:rPr>
          <w:rFonts w:hint="eastAsia" w:cs="仿宋_GB2312"/>
          <w:color w:val="000000"/>
        </w:rPr>
      </w:r>
    </w:p>
    <w:p>
      <w:pPr>
        <w:pStyle w:val="737"/>
        <w:pBdr/>
        <w:spacing/>
        <w:ind w:firstLine="640"/>
        <w:rPr>
          <w:color w:val="000000"/>
        </w:rPr>
      </w:pPr>
      <w:r>
        <w:rPr>
          <w:rFonts w:hint="eastAsia" w:cs="仿宋_GB2312"/>
          <w:color w:val="000000"/>
        </w:rPr>
        <w:t xml:space="preserve">建设高质量教育体系，全面推进健康中国建设，积极应对人口老龄化，促进人的全面发展。</w:t>
      </w:r>
      <w:r>
        <w:rPr>
          <w:color w:val="000000"/>
        </w:rPr>
      </w:r>
      <w:r>
        <w:rPr>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rPr>
          <w:rFonts w:hint="eastAsia" w:ascii="黑体" w:hAnsi="黑体" w:eastAsia="黑体" w:cs="黑体"/>
          <w:b w:val="0"/>
          <w:bCs w:val="0"/>
          <w:color w:val="000000"/>
        </w:rPr>
        <w:t xml:space="preserve">一、大力推进教育现代化</w:t>
      </w:r>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推进高质量教育体系建设</w:t>
      </w:r>
      <w:r>
        <w:rPr>
          <w:rFonts w:hint="eastAsia" w:cs="仿宋_GB2312"/>
          <w:b/>
          <w:bCs/>
          <w:color w:val="000000"/>
        </w:rPr>
        <w:t xml:space="preserve">。</w:t>
      </w:r>
      <w:r>
        <w:rPr>
          <w:rFonts w:hint="eastAsia" w:cs="仿宋_GB2312"/>
          <w:color w:val="000000"/>
        </w:rPr>
        <w:t xml:space="preserve">实施新时代立德树人行动，构建“大中小幼</w:t>
      </w:r>
      <w:r>
        <w:rPr>
          <w:rFonts w:hint="eastAsia" w:cs="仿宋_GB2312"/>
          <w:color w:val="000000"/>
          <w:lang w:eastAsia="zh-CN"/>
        </w:rPr>
        <w:t xml:space="preserve">”</w:t>
      </w:r>
      <w:r>
        <w:rPr>
          <w:rFonts w:hint="eastAsia" w:cs="仿宋_GB2312"/>
          <w:color w:val="000000"/>
        </w:rPr>
        <w:t xml:space="preserve">一体化德育体系，探索建立全员、全过程、全方位“三全育人”有效机制，形成全社会协同育人格局。推进学前教育普及普惠发展，扩大城乡普惠性学前教育资源，落实城镇住宅小区配套幼儿园政策。到</w:t>
      </w:r>
      <w:r>
        <w:rPr>
          <w:color w:val="000000"/>
        </w:rPr>
        <w:t xml:space="preserve">2025</w:t>
      </w:r>
      <w:r>
        <w:rPr>
          <w:rFonts w:hint="eastAsia" w:cs="仿宋_GB2312"/>
          <w:color w:val="000000"/>
        </w:rPr>
        <w:t xml:space="preserve">年，学前三年毛入园率达到</w:t>
      </w:r>
      <w:r>
        <w:rPr>
          <w:color w:val="000000"/>
        </w:rPr>
        <w:t xml:space="preserve">93%</w:t>
      </w:r>
      <w:r>
        <w:rPr>
          <w:rFonts w:hint="eastAsia" w:cs="仿宋_GB2312"/>
          <w:color w:val="000000"/>
        </w:rPr>
        <w:t xml:space="preserve">，公办幼儿园和普惠性民办幼儿园覆盖率达到</w:t>
      </w:r>
      <w:r>
        <w:rPr>
          <w:color w:val="000000"/>
        </w:rPr>
        <w:t xml:space="preserve">85%</w:t>
      </w:r>
      <w:r>
        <w:rPr>
          <w:rFonts w:hint="eastAsia" w:cs="仿宋_GB2312"/>
          <w:color w:val="000000"/>
        </w:rPr>
        <w:t xml:space="preserve">以上。推进义务教育优质均衡发展，落实城镇新建居住区配套标准化学校建设，全面加强乡镇寄宿制学校和乡村小规模学校建设，大力推行学区制、集团化管理模式。到</w:t>
      </w:r>
      <w:r>
        <w:rPr>
          <w:color w:val="000000"/>
        </w:rPr>
        <w:t xml:space="preserve">2025</w:t>
      </w:r>
      <w:r>
        <w:rPr>
          <w:rFonts w:hint="eastAsia" w:cs="仿宋_GB2312"/>
          <w:color w:val="000000"/>
        </w:rPr>
        <w:t xml:space="preserve">年，九年义务教育巩固率达到</w:t>
      </w:r>
      <w:r>
        <w:rPr>
          <w:color w:val="000000"/>
        </w:rPr>
        <w:t xml:space="preserve">98%</w:t>
      </w:r>
      <w:r>
        <w:rPr>
          <w:rFonts w:hint="eastAsia" w:cs="仿宋_GB2312"/>
          <w:color w:val="000000"/>
        </w:rPr>
        <w:t xml:space="preserve">以上。推动特殊教育特惠特办，实施特殊教育提升计划，加强特教资源教室建设。到</w:t>
      </w:r>
      <w:r>
        <w:rPr>
          <w:color w:val="000000"/>
        </w:rPr>
        <w:t xml:space="preserve">2025</w:t>
      </w:r>
      <w:r>
        <w:rPr>
          <w:rFonts w:hint="eastAsia" w:cs="仿宋_GB2312"/>
          <w:color w:val="000000"/>
        </w:rPr>
        <w:t xml:space="preserve">年，适龄残疾儿童少年义务教育入学率达到</w:t>
      </w:r>
      <w:r>
        <w:rPr>
          <w:color w:val="000000"/>
        </w:rPr>
        <w:t xml:space="preserve">95%</w:t>
      </w:r>
      <w:r>
        <w:rPr>
          <w:rFonts w:hint="eastAsia" w:cs="仿宋_GB2312"/>
          <w:color w:val="000000"/>
        </w:rPr>
        <w:t xml:space="preserve">以上。推动高中阶段教育协调多样发展，加强普通高中标准化建设和特色高中建设，落实新的普通高中课程方案和课程标准。到</w:t>
      </w:r>
      <w:r>
        <w:rPr>
          <w:color w:val="000000"/>
        </w:rPr>
        <w:t xml:space="preserve">2025</w:t>
      </w:r>
      <w:r>
        <w:rPr>
          <w:rFonts w:hint="eastAsia" w:cs="仿宋_GB2312"/>
          <w:color w:val="000000"/>
        </w:rPr>
        <w:t xml:space="preserve">年，高中阶段教育毛入学率达到</w:t>
      </w:r>
      <w:r>
        <w:rPr>
          <w:color w:val="000000"/>
        </w:rPr>
        <w:t xml:space="preserve">95%</w:t>
      </w:r>
      <w:r>
        <w:rPr>
          <w:rFonts w:hint="eastAsia" w:cs="仿宋_GB2312"/>
          <w:color w:val="000000"/>
        </w:rPr>
        <w:t xml:space="preserve">。实施职业教育提质培优行动计划，加强资源整合，重点建设</w:t>
      </w:r>
      <w:r>
        <w:rPr>
          <w:color w:val="000000"/>
        </w:rPr>
        <w:t xml:space="preserve">10</w:t>
      </w:r>
      <w:r>
        <w:rPr>
          <w:rFonts w:hint="eastAsia" w:cs="仿宋_GB2312"/>
          <w:color w:val="000000"/>
        </w:rPr>
        <w:t xml:space="preserve">所左右中等职业学校，支持随州职业技术学院建设省级优质高等职业学校，力争入选国家级特色高水平高职学校。抢抓独立学院转设机遇，引进建设一所本科院校。</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全面深化新时代教师队伍建设</w:t>
      </w:r>
      <w:r>
        <w:rPr>
          <w:rFonts w:hint="eastAsia" w:cs="仿宋_GB2312"/>
          <w:b/>
          <w:bCs/>
          <w:color w:val="000000"/>
        </w:rPr>
        <w:t xml:space="preserve">。</w:t>
      </w:r>
      <w:r>
        <w:rPr>
          <w:rFonts w:hint="eastAsia" w:cs="仿宋_GB2312"/>
          <w:color w:val="000000"/>
        </w:rPr>
        <w:t xml:space="preserve">全面提高教师思想政治素质，开展师德建设行动，规范教师职业行为。实施教师教育振兴行动计划</w:t>
      </w:r>
      <w:r>
        <w:rPr>
          <w:rFonts w:hint="eastAsia" w:cs="仿宋_GB2312"/>
          <w:color w:val="000000"/>
          <w:lang w:eastAsia="zh-CN"/>
        </w:rPr>
        <w:t xml:space="preserve">和</w:t>
      </w:r>
      <w:r>
        <w:rPr>
          <w:rFonts w:hint="eastAsia" w:cs="仿宋_GB2312"/>
          <w:color w:val="000000"/>
        </w:rPr>
        <w:t xml:space="preserve">农村教师本土定向培养行动，努力恢复随州籍师范生供给。实施随州教育名家培养行动，持续推进</w:t>
      </w:r>
      <w:r>
        <w:rPr>
          <w:color w:val="000000"/>
        </w:rPr>
        <w:t xml:space="preserve">“</w:t>
      </w:r>
      <w:r>
        <w:rPr>
          <w:rFonts w:hint="eastAsia" w:cs="仿宋_GB2312"/>
          <w:color w:val="000000"/>
        </w:rPr>
        <w:t xml:space="preserve">随州市名师名校长领航工程</w:t>
      </w:r>
      <w:r>
        <w:rPr>
          <w:color w:val="000000"/>
        </w:rPr>
        <w:t xml:space="preserve">”</w:t>
      </w:r>
      <w:r>
        <w:rPr>
          <w:rFonts w:hint="eastAsia" w:cs="仿宋_GB2312"/>
          <w:color w:val="000000"/>
        </w:rPr>
        <w:t xml:space="preserve">，培养一批具有鲜明教育思想和教学模式</w:t>
      </w:r>
      <w:r>
        <w:rPr>
          <w:rFonts w:hint="eastAsia" w:cs="仿宋_GB2312"/>
          <w:color w:val="000000"/>
          <w:lang w:eastAsia="zh-CN"/>
        </w:rPr>
        <w:t xml:space="preserve">，</w:t>
      </w:r>
      <w:r>
        <w:rPr>
          <w:rFonts w:hint="eastAsia" w:cs="仿宋_GB2312"/>
          <w:color w:val="000000"/>
        </w:rPr>
        <w:t xml:space="preserve">能够引领基础教育改革发展的教育家型卓越教师和校长。到</w:t>
      </w:r>
      <w:r>
        <w:rPr>
          <w:color w:val="000000"/>
        </w:rPr>
        <w:t xml:space="preserve">2025</w:t>
      </w:r>
      <w:r>
        <w:rPr>
          <w:rFonts w:hint="eastAsia" w:cs="仿宋_GB2312"/>
          <w:color w:val="000000"/>
        </w:rPr>
        <w:t xml:space="preserve">年，建成</w:t>
      </w:r>
      <w:r>
        <w:rPr>
          <w:color w:val="000000"/>
        </w:rPr>
        <w:t xml:space="preserve">30</w:t>
      </w:r>
      <w:r>
        <w:rPr>
          <w:rFonts w:hint="eastAsia" w:cs="仿宋_GB2312"/>
          <w:color w:val="000000"/>
        </w:rPr>
        <w:t xml:space="preserve">个名校长工作室、</w:t>
      </w:r>
      <w:r>
        <w:rPr>
          <w:color w:val="000000"/>
        </w:rPr>
        <w:t xml:space="preserve">30</w:t>
      </w:r>
      <w:r>
        <w:rPr>
          <w:rFonts w:hint="eastAsia" w:cs="仿宋_GB2312"/>
          <w:color w:val="000000"/>
        </w:rPr>
        <w:t xml:space="preserve">个名师工作室、</w:t>
      </w:r>
      <w:r>
        <w:rPr>
          <w:color w:val="000000"/>
        </w:rPr>
        <w:t xml:space="preserve">100</w:t>
      </w:r>
      <w:r>
        <w:rPr>
          <w:rFonts w:hint="eastAsia" w:cs="仿宋_GB2312"/>
          <w:color w:val="000000"/>
        </w:rPr>
        <w:t xml:space="preserve">个名班主任工作室，培养市、县两级名校长</w:t>
      </w:r>
      <w:r>
        <w:rPr>
          <w:color w:val="000000"/>
        </w:rPr>
        <w:t xml:space="preserve">30</w:t>
      </w:r>
      <w:r>
        <w:rPr>
          <w:rFonts w:hint="eastAsia" w:cs="仿宋_GB2312"/>
          <w:color w:val="000000"/>
        </w:rPr>
        <w:t xml:space="preserve">名、名师</w:t>
      </w:r>
      <w:r>
        <w:rPr>
          <w:color w:val="000000"/>
        </w:rPr>
        <w:t xml:space="preserve">100</w:t>
      </w:r>
      <w:r>
        <w:rPr>
          <w:rFonts w:hint="eastAsia" w:cs="仿宋_GB2312"/>
          <w:color w:val="000000"/>
        </w:rPr>
        <w:t xml:space="preserve">名、名班主任</w:t>
      </w:r>
      <w:r>
        <w:rPr>
          <w:color w:val="000000"/>
        </w:rPr>
        <w:t xml:space="preserve">200</w:t>
      </w:r>
      <w:r>
        <w:rPr>
          <w:rFonts w:hint="eastAsia" w:cs="仿宋_GB2312"/>
          <w:color w:val="000000"/>
        </w:rPr>
        <w:t xml:space="preserve">名。实施</w:t>
      </w:r>
      <w:r>
        <w:rPr>
          <w:color w:val="000000"/>
        </w:rPr>
        <w:t xml:space="preserve">“</w:t>
      </w:r>
      <w:r>
        <w:rPr>
          <w:rFonts w:hint="eastAsia" w:cs="仿宋_GB2312"/>
          <w:color w:val="000000"/>
        </w:rPr>
        <w:t xml:space="preserve">县管校聘</w:t>
      </w:r>
      <w:r>
        <w:rPr>
          <w:color w:val="000000"/>
        </w:rPr>
        <w:t xml:space="preserve">”</w:t>
      </w:r>
      <w:r>
        <w:rPr>
          <w:rFonts w:hint="eastAsia" w:cs="仿宋_GB2312"/>
          <w:color w:val="000000"/>
        </w:rPr>
        <w:t xml:space="preserve">改革，大力推进县级教师统筹管理行动，统筹管理区域内中小学教师调配、岗位设置、聘用交流、培训教研、绩效分配、考核奖惩等工作，形成事权人权财权相统一的教师管理体制。</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推进教育信息化建设</w:t>
      </w:r>
      <w:r>
        <w:rPr>
          <w:rFonts w:hint="eastAsia" w:cs="仿宋_GB2312"/>
          <w:b/>
          <w:bCs/>
          <w:color w:val="000000"/>
        </w:rPr>
        <w:t xml:space="preserve">。</w:t>
      </w:r>
      <w:r>
        <w:rPr>
          <w:rFonts w:hint="eastAsia" w:cs="仿宋_GB2312"/>
          <w:color w:val="000000"/>
        </w:rPr>
        <w:t xml:space="preserve">实施数字校园建设行动，基本</w:t>
      </w:r>
      <w:r>
        <w:rPr>
          <w:rFonts w:hint="eastAsia" w:cs="仿宋_GB2312"/>
          <w:color w:val="000000"/>
          <w:lang w:eastAsia="zh-CN"/>
        </w:rPr>
        <w:t xml:space="preserve">实现</w:t>
      </w:r>
      <w:r>
        <w:rPr>
          <w:rFonts w:hint="eastAsia" w:cs="仿宋_GB2312"/>
          <w:color w:val="000000"/>
        </w:rPr>
        <w:t xml:space="preserve">各级各类学校</w:t>
      </w:r>
      <w:r>
        <w:rPr>
          <w:rFonts w:hint="eastAsia" w:cs="仿宋_GB2312"/>
          <w:color w:val="000000"/>
          <w:lang w:eastAsia="zh-CN"/>
        </w:rPr>
        <w:t xml:space="preserve">全</w:t>
      </w:r>
      <w:r>
        <w:rPr>
          <w:rFonts w:hint="eastAsia" w:cs="仿宋_GB2312"/>
          <w:color w:val="000000"/>
        </w:rPr>
        <w:t xml:space="preserve">覆盖。在中小学深入开展</w:t>
      </w:r>
      <w:r>
        <w:rPr>
          <w:color w:val="000000"/>
        </w:rPr>
        <w:t xml:space="preserve">“</w:t>
      </w:r>
      <w:r>
        <w:rPr>
          <w:rFonts w:hint="eastAsia" w:cs="仿宋_GB2312"/>
          <w:color w:val="000000"/>
        </w:rPr>
        <w:t xml:space="preserve">一师一优课、一课一名师</w:t>
      </w:r>
      <w:r>
        <w:rPr>
          <w:color w:val="000000"/>
        </w:rPr>
        <w:t xml:space="preserve">”</w:t>
      </w:r>
      <w:r>
        <w:rPr>
          <w:rFonts w:hint="eastAsia" w:cs="仿宋_GB2312"/>
          <w:color w:val="000000"/>
        </w:rPr>
        <w:t xml:space="preserve">活动，逐步实现教学应用覆盖全体教师。实施教师信息素养提升行动和学生信息素养培育工程，推进教育大数据应用。实施教育资源共享计划，提升教育信息化发展水平。</w:t>
      </w:r>
      <w:r>
        <w:rPr>
          <w:color w:val="000000"/>
        </w:rPr>
      </w:r>
      <w:r>
        <w:rPr>
          <w:color w:val="000000"/>
        </w:rPr>
      </w:r>
    </w:p>
    <w:p>
      <w:pPr>
        <w:pStyle w:val="737"/>
        <w:pBdr/>
        <w:spacing/>
        <w:ind w:firstLine="640"/>
        <w:rPr>
          <w:color w:val="000000"/>
          <w:lang w:val="en-US"/>
        </w:rPr>
      </w:pPr>
      <w:r>
        <w:rPr>
          <w:color w:val="000000"/>
          <w:lang w:val="en-US"/>
        </w:rPr>
      </w:r>
      <w:r>
        <w:rPr>
          <w:color w:val="000000"/>
          <w:lang w:val="en-US"/>
        </w:rPr>
      </w:r>
    </w:p>
    <w:p>
      <w:pPr>
        <w:pStyle w:val="739"/>
        <w:pBdr/>
        <w:spacing/>
        <w:ind w:firstLine="720"/>
        <w:rPr>
          <w:rFonts w:hint="eastAsia" w:ascii="黑体" w:hAnsi="黑体" w:eastAsia="黑体" w:cs="黑体"/>
          <w:b w:val="0"/>
          <w:bCs w:val="0"/>
          <w:color w:val="000000"/>
        </w:rPr>
      </w:pPr>
      <w:r>
        <w:rPr>
          <w:rFonts w:hint="eastAsia" w:ascii="黑体" w:hAnsi="黑体" w:eastAsia="黑体" w:cs="黑体"/>
          <w:b w:val="0"/>
          <w:bCs w:val="0"/>
          <w:color w:val="000000"/>
        </w:rPr>
        <w:t xml:space="preserve">二、建设健康活力城市</w:t>
      </w:r>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全力推进健康随州建设</w:t>
      </w:r>
      <w:r>
        <w:rPr>
          <w:rFonts w:hint="eastAsia" w:cs="仿宋_GB2312"/>
          <w:b/>
          <w:bCs/>
          <w:color w:val="000000"/>
        </w:rPr>
        <w:t xml:space="preserve">。</w:t>
      </w:r>
      <w:r>
        <w:rPr>
          <w:rFonts w:hint="eastAsia" w:cs="仿宋_GB2312"/>
          <w:color w:val="000000"/>
        </w:rPr>
        <w:t xml:space="preserve">建立健全健康随州领导体制和工作机制，贯彻落实《</w:t>
      </w:r>
      <w:r>
        <w:rPr>
          <w:color w:val="000000"/>
        </w:rPr>
        <w:t xml:space="preserve">“</w:t>
      </w:r>
      <w:r>
        <w:rPr>
          <w:rFonts w:hint="eastAsia" w:cs="仿宋_GB2312"/>
          <w:color w:val="000000"/>
        </w:rPr>
        <w:t xml:space="preserve">健康随州</w:t>
      </w:r>
      <w:r>
        <w:rPr>
          <w:color w:val="000000"/>
        </w:rPr>
        <w:t xml:space="preserve">2030”</w:t>
      </w:r>
      <w:r>
        <w:rPr>
          <w:rFonts w:hint="eastAsia" w:cs="仿宋_GB2312"/>
          <w:color w:val="000000"/>
        </w:rPr>
        <w:t xml:space="preserve">行动纲要》，</w:t>
      </w:r>
      <w:r>
        <w:rPr>
          <w:rFonts w:hint="eastAsia" w:cs="仿宋_GB2312"/>
          <w:color w:val="000000"/>
          <w:lang w:eastAsia="zh-CN"/>
        </w:rPr>
        <w:t xml:space="preserve">实施影响群众健康突出问题“</w:t>
      </w:r>
      <w:r>
        <w:rPr>
          <w:rFonts w:hint="eastAsia" w:cs="仿宋_GB2312"/>
          <w:color w:val="000000"/>
          <w:lang w:val="en-US" w:eastAsia="zh-CN"/>
        </w:rPr>
        <w:t xml:space="preserve">323”</w:t>
      </w:r>
      <w:r>
        <w:rPr>
          <w:rStyle w:val="779"/>
          <w:rFonts w:hint="eastAsia" w:cs="仿宋_GB2312"/>
          <w:color w:val="000000"/>
          <w:lang w:val="en-US" w:eastAsia="zh-CN"/>
        </w:rPr>
        <w:footnoteReference w:id="3"/>
      </w:r>
      <w:r>
        <w:rPr>
          <w:rFonts w:hint="eastAsia" w:cs="仿宋_GB2312"/>
          <w:color w:val="000000"/>
          <w:lang w:val="en-US" w:eastAsia="zh-CN"/>
        </w:rPr>
        <w:t xml:space="preserve">攻坚行动，着力</w:t>
      </w:r>
      <w:r>
        <w:rPr>
          <w:rFonts w:hint="eastAsia" w:cs="仿宋_GB2312"/>
          <w:color w:val="000000"/>
        </w:rPr>
        <w:t xml:space="preserve">提高人民健康水平。将健康随州融入各项公共政策，实施常态化健康随州建设管理培训工程。完善健康随州评价考核机制，依托互联网和大数据完善监测机制。协调推进健康随州建设，开展健康城市、健康企业、健康乡镇、健康学校、健康社区、健康村的创建活动。以卫生行政部门为主导，强化县市区疾控、医疗卫生机构健康管理职能，构建</w:t>
      </w:r>
      <w:r>
        <w:rPr>
          <w:color w:val="000000"/>
        </w:rPr>
        <w:t xml:space="preserve">“</w:t>
      </w:r>
      <w:r>
        <w:rPr>
          <w:rFonts w:hint="eastAsia" w:cs="仿宋_GB2312"/>
          <w:color w:val="000000"/>
        </w:rPr>
        <w:t xml:space="preserve">三位一体</w:t>
      </w:r>
      <w:r>
        <w:rPr>
          <w:color w:val="000000"/>
        </w:rPr>
        <w:t xml:space="preserve">”</w:t>
      </w:r>
      <w:r>
        <w:rPr>
          <w:rFonts w:hint="eastAsia" w:cs="仿宋_GB2312"/>
          <w:color w:val="000000"/>
        </w:rPr>
        <w:t xml:space="preserve">的健康管理组织体系。依托医共体，建立健康管理联合体，实现疾病特别是慢性非传染性疾病防治的联合。提升健康教育、慢病管理和残疾康复服务质量，</w:t>
      </w:r>
      <w:r>
        <w:rPr>
          <w:rFonts w:hint="eastAsia" w:cs="仿宋_GB2312"/>
          <w:color w:val="000000"/>
          <w:lang w:eastAsia="zh-CN"/>
        </w:rPr>
        <w:t xml:space="preserve">促进</w:t>
      </w:r>
      <w:r>
        <w:rPr>
          <w:rFonts w:hint="eastAsia" w:cs="仿宋_GB2312"/>
          <w:color w:val="000000"/>
        </w:rPr>
        <w:t xml:space="preserve">精神卫生和心理健康</w:t>
      </w:r>
      <w:r>
        <w:rPr>
          <w:rFonts w:hint="eastAsia" w:cs="仿宋_GB2312"/>
          <w:color w:val="000000"/>
          <w:lang w:eastAsia="zh-CN"/>
        </w:rPr>
        <w:t xml:space="preserve">。</w:t>
      </w:r>
      <w:r>
        <w:rPr>
          <w:rFonts w:hint="eastAsia" w:cs="仿宋_GB2312"/>
          <w:color w:val="000000"/>
        </w:rPr>
        <w:t xml:space="preserve">大力开展健康知识普及，进一步提高市民健康素养，倡导文明健康、绿色环保的生活方式。不断丰富爱国卫生运动内涵，创新爱国卫生工作方式方法，创建国家卫生城市。</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完善疾病预防控制体系和公共卫生应急体系建设</w:t>
      </w:r>
      <w:r>
        <w:rPr>
          <w:rFonts w:hint="eastAsia" w:cs="仿宋_GB2312"/>
          <w:b/>
          <w:bCs/>
          <w:color w:val="000000"/>
        </w:rPr>
        <w:t xml:space="preserve">。</w:t>
      </w:r>
      <w:r>
        <w:rPr>
          <w:rFonts w:hint="eastAsia" w:cs="仿宋_GB2312"/>
          <w:color w:val="000000"/>
        </w:rPr>
        <w:t xml:space="preserve">系统谋划推进突发公共卫生事件应急指挥中心、突发事件紧急医学救援指挥中心、突发公共卫生事件应急处置准备中心、重大传染疾病救治中心建设。健全以疾病预防控制机构和各类专科疾病防治机构为骨干、二级以上医疗机构和乡镇卫生院（社区卫生服务中心）为依托、村卫生室（社区卫生服务站）为支撑、全社会协同的疾病预防控制工作体系。加强监测预警网络建设，完善疾控机构与城乡社区联动工作机制。</w:t>
      </w:r>
      <w:r>
        <w:rPr>
          <w:color w:val="000000"/>
        </w:rPr>
      </w:r>
      <w:r>
        <w:rPr>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深化医药卫生体制改革</w:t>
      </w:r>
      <w:r>
        <w:rPr>
          <w:rFonts w:hint="eastAsia" w:cs="仿宋_GB2312"/>
          <w:b/>
          <w:bCs/>
          <w:color w:val="000000"/>
        </w:rPr>
        <w:t xml:space="preserve">。</w:t>
      </w:r>
      <w:r>
        <w:rPr>
          <w:rFonts w:hint="eastAsia" w:cs="仿宋_GB2312"/>
          <w:color w:val="000000"/>
        </w:rPr>
        <w:t xml:space="preserve">有序推进分级诊疗，加强城市医疗集团和紧密型县域医共体建设，建立双向转诊绿色通道，完善疾病预防控制体系和公共卫生体系。推进公立医院综合改革，健全现代医院管理制度，促进医疗服务同质化、规范化。</w:t>
      </w:r>
      <w:r>
        <w:rPr>
          <w:rFonts w:hint="eastAsia" w:cs="仿宋_GB2312"/>
          <w:color w:val="000000"/>
        </w:rPr>
      </w:r>
      <w:r>
        <w:rPr>
          <w:rFonts w:hint="eastAsia" w:cs="仿宋_GB2312"/>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完善医疗卫生服务体系</w:t>
      </w:r>
      <w:r>
        <w:rPr>
          <w:rFonts w:hint="eastAsia" w:cs="仿宋_GB2312"/>
          <w:color w:val="000000"/>
        </w:rPr>
        <w:t xml:space="preserve">。调整优化卫生资源配置，重点改善医疗资源相对薄弱区域医疗机构基础设施条件。建立以基层卫生机构为基础，县级医院、市级医院、专业卫生机构合理分工、错位发展、密切配合、双向转诊的优质高效医疗卫生服务体系，形成以公立医院为主导，社会办医疗机构为补充的多元化办医格局。全面推进医联体建设，通过托管、专科联盟、远程医疗协作、县域医共体等方式，</w:t>
      </w:r>
      <w:r>
        <w:rPr>
          <w:rFonts w:hint="eastAsia" w:cs="仿宋_GB2312"/>
          <w:color w:val="000000"/>
          <w:lang w:eastAsia="zh-CN"/>
        </w:rPr>
        <w:t xml:space="preserve">实现</w:t>
      </w:r>
      <w:r>
        <w:rPr>
          <w:rFonts w:hint="eastAsia" w:cs="仿宋_GB2312"/>
          <w:color w:val="000000"/>
        </w:rPr>
        <w:t xml:space="preserve">区域内医疗资源有效共享，辐射带动区域医疗服务能力提升。完善基层医疗卫生服务体系，打造城市</w:t>
      </w:r>
      <w:r>
        <w:rPr>
          <w:color w:val="000000"/>
        </w:rPr>
        <w:t xml:space="preserve">15</w:t>
      </w:r>
      <w:r>
        <w:rPr>
          <w:rFonts w:hint="eastAsia" w:cs="仿宋_GB2312"/>
          <w:color w:val="000000"/>
        </w:rPr>
        <w:t xml:space="preserve">分钟社区卫生服务圈和农村</w:t>
      </w:r>
      <w:r>
        <w:rPr>
          <w:color w:val="000000"/>
        </w:rPr>
        <w:t xml:space="preserve">30</w:t>
      </w:r>
      <w:r>
        <w:rPr>
          <w:rFonts w:hint="eastAsia" w:cs="仿宋_GB2312"/>
          <w:color w:val="000000"/>
        </w:rPr>
        <w:t xml:space="preserve">分钟医疗卫生服务圈。建立覆盖市、县、镇、村的院前急救网络，市、县两级建立独立的指挥型急救中心，打造中心城区</w:t>
      </w:r>
      <w:r>
        <w:rPr>
          <w:color w:val="000000"/>
        </w:rPr>
        <w:t xml:space="preserve">“10</w:t>
      </w:r>
      <w:r>
        <w:rPr>
          <w:rFonts w:hint="eastAsia" w:cs="仿宋_GB2312"/>
          <w:color w:val="000000"/>
        </w:rPr>
        <w:t xml:space="preserve">分钟急救圈</w:t>
      </w:r>
      <w:r>
        <w:rPr>
          <w:color w:val="000000"/>
        </w:rPr>
        <w:t xml:space="preserve">”</w:t>
      </w:r>
      <w:r>
        <w:rPr>
          <w:rFonts w:hint="eastAsia" w:cs="仿宋_GB2312"/>
          <w:color w:val="000000"/>
          <w:lang w:eastAsia="zh-CN"/>
        </w:rPr>
        <w:t xml:space="preserve">、</w:t>
      </w:r>
      <w:r>
        <w:rPr>
          <w:rFonts w:hint="eastAsia" w:cs="仿宋_GB2312"/>
          <w:color w:val="000000"/>
        </w:rPr>
        <w:t xml:space="preserve">非中心城区</w:t>
      </w:r>
      <w:r>
        <w:rPr>
          <w:color w:val="000000"/>
        </w:rPr>
        <w:t xml:space="preserve">“15</w:t>
      </w:r>
      <w:r>
        <w:rPr>
          <w:rFonts w:hint="eastAsia" w:cs="仿宋_GB2312"/>
          <w:color w:val="000000"/>
        </w:rPr>
        <w:t xml:space="preserve">分钟急救圈</w:t>
      </w:r>
      <w:r>
        <w:rPr>
          <w:color w:val="000000"/>
        </w:rPr>
        <w:t xml:space="preserve">”</w:t>
      </w:r>
      <w:r>
        <w:rPr>
          <w:rFonts w:hint="eastAsia" w:cs="仿宋_GB2312"/>
          <w:color w:val="000000"/>
          <w:lang w:eastAsia="zh-CN"/>
        </w:rPr>
        <w:t xml:space="preserve">、</w:t>
      </w:r>
      <w:r>
        <w:rPr>
          <w:rFonts w:hint="eastAsia" w:cs="仿宋_GB2312"/>
          <w:color w:val="000000"/>
        </w:rPr>
        <w:t xml:space="preserve">县市</w:t>
      </w:r>
      <w:r>
        <w:rPr>
          <w:color w:val="000000"/>
        </w:rPr>
        <w:t xml:space="preserve">“30</w:t>
      </w:r>
      <w:r>
        <w:rPr>
          <w:rFonts w:hint="eastAsia" w:cs="仿宋_GB2312"/>
          <w:color w:val="000000"/>
        </w:rPr>
        <w:t xml:space="preserve">分钟急救圈</w:t>
      </w:r>
      <w:r>
        <w:rPr>
          <w:color w:val="000000"/>
        </w:rPr>
        <w:t xml:space="preserve">”</w:t>
      </w:r>
      <w:r>
        <w:rPr>
          <w:rFonts w:hint="eastAsia" w:cs="仿宋_GB2312"/>
          <w:color w:val="000000"/>
        </w:rPr>
        <w:t xml:space="preserve">。加强疾病预防控制、卫生监督、妇幼健康、精神卫生、采供血和院前急救等专业公共卫生机构建设，推进职业健康工作，强化艾滋病、血吸虫病、结核病等重点传染病及重大地方病防治，增加艾滋病防治等特殊药物免费供给。加快推进市中医医院新院和中西医结合肺科医院、市中心医院新建市传染病医院、市妇幼保健院（暨市儿童医院）、市妇幼保健院妇女儿童呼吸专科等重大项目和一批公共设施项目建设。统筹推进随州区域医疗数字一体化平台建设，建立覆盖全生命周期的居民</w:t>
      </w:r>
      <w:r>
        <w:rPr>
          <w:rFonts w:hint="eastAsia" w:cs="仿宋_GB2312"/>
          <w:color w:val="000000"/>
          <w:lang w:val="en-US"/>
        </w:rPr>
        <w:t xml:space="preserve">360度健康档案体系，推进</w:t>
      </w:r>
      <w:r>
        <w:rPr>
          <w:rFonts w:hint="eastAsia" w:cs="仿宋_GB2312"/>
          <w:color w:val="000000"/>
        </w:rPr>
        <w:t xml:space="preserve">“互联网+诊疗</w:t>
      </w:r>
      <w:r>
        <w:rPr>
          <w:color w:val="000000"/>
        </w:rPr>
        <w:t xml:space="preserve">”</w:t>
      </w:r>
      <w:r>
        <w:rPr>
          <w:rFonts w:hint="eastAsia"/>
          <w:color w:val="000000"/>
        </w:rPr>
        <w:t xml:space="preserve">“互联网</w:t>
      </w:r>
      <w:r>
        <w:rPr>
          <w:rFonts w:hint="eastAsia"/>
          <w:color w:val="000000"/>
          <w:lang w:val="en-US"/>
        </w:rPr>
        <w:t xml:space="preserve">+护理”等</w:t>
      </w:r>
      <w:r>
        <w:rPr>
          <w:rFonts w:hint="eastAsia" w:cs="仿宋_GB2312"/>
          <w:color w:val="000000"/>
        </w:rPr>
        <w:t xml:space="preserve">模式的全面应用，提高卫生健康服务能力水平和规范性。</w:t>
      </w:r>
      <w:r>
        <w:rPr>
          <w:rFonts w:hint="eastAsia" w:cs="仿宋_GB2312"/>
          <w:color w:val="000000"/>
        </w:rPr>
      </w:r>
      <w:r>
        <w:rPr>
          <w:rFonts w:hint="eastAsia" w:cs="仿宋_GB2312"/>
          <w:color w:val="000000"/>
        </w:rPr>
      </w:r>
    </w:p>
    <w:p>
      <w:pPr>
        <w:pStyle w:val="737"/>
        <w:pBdr/>
        <w:spacing/>
        <w:ind w:firstLine="643"/>
        <w:rPr>
          <w:rFonts w:hint="eastAsia" w:cs="仿宋_GB2312"/>
          <w:color w:val="000000"/>
          <w:lang w:val="en-US"/>
        </w:rPr>
      </w:pPr>
      <w:r>
        <w:rPr>
          <w:rFonts w:hint="eastAsia" w:ascii="楷体_GB2312" w:hAnsi="楷体_GB2312" w:eastAsia="楷体_GB2312" w:cs="楷体_GB2312"/>
          <w:b/>
          <w:bCs/>
          <w:color w:val="000000"/>
        </w:rPr>
        <w:t xml:space="preserve">大力开展全民健身运动</w:t>
      </w:r>
      <w:r>
        <w:rPr>
          <w:rFonts w:hint="eastAsia" w:cs="仿宋_GB2312"/>
          <w:b/>
          <w:bCs/>
          <w:color w:val="000000"/>
        </w:rPr>
        <w:t xml:space="preserve">。</w:t>
      </w:r>
      <w:r>
        <w:rPr>
          <w:rFonts w:hint="eastAsia" w:cs="仿宋_GB2312"/>
          <w:color w:val="000000"/>
        </w:rPr>
        <w:t xml:space="preserve">弘扬体育文化，普及健身知识，宣传健身效果，弘扬健康新理念，树立以参与体育健身、拥有强健体魄为荣的个人发展理念，营造良好舆论氛围。以举办体育赛事活动为抓手，因时因地因需开展群众身边的健身活动，大力发展健身跑、健步走、骑行、登山、徒步、游泳、球类、广场舞等群众喜闻乐见的运动项目，积极推动体育文化与旅游休闲、武术养生、传统节庆和地域特色的融合发展。规划建设一批体育场馆、全民健身中心、足球场、健身公园、多功能运动场、全</w:t>
      </w:r>
      <w:r>
        <w:rPr>
          <w:rFonts w:hint="eastAsia" w:cs="仿宋_GB2312"/>
          <w:color w:val="000000"/>
          <w:lang w:eastAsia="zh-CN"/>
        </w:rPr>
        <w:t xml:space="preserve">民</w:t>
      </w:r>
      <w:r>
        <w:rPr>
          <w:rFonts w:hint="eastAsia" w:cs="仿宋_GB2312"/>
          <w:color w:val="000000"/>
        </w:rPr>
        <w:t xml:space="preserve">健身步道等项目，打造百姓身边的 “15分钟健身圈”，不断提升公共体育服务保障水平。充分发挥全民健身多元功能，统筹谋划全民健身重大工程项目，充分发挥全民健身在促进素质教育、文化繁荣、社会包容、民生改善、健身消费和大众创业、万众创新等方面的积极作用。</w:t>
      </w:r>
      <w:r>
        <w:rPr>
          <w:rFonts w:hint="eastAsia" w:cs="仿宋_GB2312"/>
          <w:color w:val="000000"/>
          <w:lang w:val="en-US"/>
        </w:rPr>
      </w:r>
      <w:r>
        <w:rPr>
          <w:rFonts w:hint="eastAsia" w:cs="仿宋_GB2312"/>
          <w:color w:val="000000"/>
          <w:lang w:val="en-US"/>
        </w:rPr>
      </w:r>
    </w:p>
    <w:p>
      <w:pPr>
        <w:pStyle w:val="739"/>
        <w:pBdr/>
        <w:spacing/>
        <w:ind w:firstLine="720"/>
        <w:rPr>
          <w:rFonts w:hint="eastAsia" w:ascii="黑体" w:hAnsi="黑体" w:eastAsia="黑体" w:cs="黑体"/>
          <w:b w:val="0"/>
          <w:bCs w:val="0"/>
          <w:color w:val="000000"/>
        </w:rPr>
      </w:pPr>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9"/>
        <w:pBdr/>
        <w:spacing/>
        <w:ind w:firstLine="720"/>
        <w:rPr>
          <w:rFonts w:hint="eastAsia" w:ascii="黑体" w:hAnsi="黑体" w:eastAsia="黑体" w:cs="黑体"/>
          <w:b w:val="0"/>
          <w:bCs w:val="0"/>
          <w:color w:val="000000"/>
        </w:rPr>
      </w:pPr>
      <w:r>
        <w:rPr>
          <w:rFonts w:hint="eastAsia" w:ascii="黑体" w:hAnsi="黑体" w:eastAsia="黑体" w:cs="黑体"/>
          <w:b w:val="0"/>
          <w:bCs w:val="0"/>
          <w:color w:val="000000"/>
        </w:rPr>
        <w:t xml:space="preserve">三、促进人口</w:t>
      </w:r>
      <w:r>
        <w:rPr>
          <w:rFonts w:hint="eastAsia" w:ascii="黑体" w:hAnsi="黑体" w:eastAsia="黑体" w:cs="黑体"/>
          <w:b w:val="0"/>
          <w:bCs w:val="0"/>
          <w:color w:val="000000"/>
          <w:lang w:eastAsia="zh-CN"/>
        </w:rPr>
        <w:t xml:space="preserve">长期</w:t>
      </w:r>
      <w:r>
        <w:rPr>
          <w:rFonts w:hint="eastAsia" w:ascii="黑体" w:hAnsi="黑体" w:eastAsia="黑体" w:cs="黑体"/>
          <w:b w:val="0"/>
          <w:bCs w:val="0"/>
          <w:color w:val="000000"/>
        </w:rPr>
        <w:t xml:space="preserve">均衡发展</w:t>
      </w:r>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color w:val="000000"/>
        </w:rPr>
      </w:pPr>
      <w:r>
        <w:rPr>
          <w:rFonts w:hint="eastAsia" w:cs="仿宋_GB2312"/>
          <w:color w:val="000000"/>
        </w:rPr>
        <w:t xml:space="preserve">提高生殖健康服务水平，加大出生缺陷预防干预力度，不断提高出生人口素质。加大妇幼健康保障工作</w:t>
      </w:r>
      <w:r>
        <w:rPr>
          <w:rFonts w:hint="eastAsia" w:cs="仿宋_GB2312"/>
          <w:color w:val="000000"/>
          <w:lang w:eastAsia="zh-CN"/>
        </w:rPr>
        <w:t xml:space="preserve">，</w:t>
      </w:r>
      <w:r>
        <w:rPr>
          <w:rFonts w:cs="仿宋_GB2312"/>
          <w:color w:val="000000"/>
        </w:rPr>
        <w:t xml:space="preserve">促进青年优先发展</w:t>
      </w:r>
      <w:r>
        <w:rPr>
          <w:rFonts w:hint="eastAsia" w:cs="仿宋_GB2312"/>
          <w:color w:val="000000"/>
        </w:rPr>
        <w:t xml:space="preserve">。积极开展应对人口老龄化行动，弘扬敬老、爱老、助老社会风尚，建设与人口老龄化相适应的养老服务和社会保障体系。</w:t>
      </w:r>
      <w:r>
        <w:rPr>
          <w:color w:val="000000"/>
        </w:rPr>
      </w:r>
      <w:r>
        <w:rPr>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推进妇幼健康保障工作</w:t>
      </w:r>
      <w:r>
        <w:rPr>
          <w:rFonts w:hint="eastAsia" w:cs="仿宋_GB2312"/>
          <w:color w:val="000000"/>
        </w:rPr>
        <w:t xml:space="preserve">。继续实施妇女、儿童发展纲要，推动妇女儿童事业发展。加强出生缺陷防治措施，强化妇幼保健</w:t>
      </w:r>
      <w:r>
        <w:rPr>
          <w:rFonts w:hint="eastAsia" w:cs="仿宋_GB2312"/>
          <w:color w:val="000000"/>
          <w:lang w:eastAsia="zh-CN"/>
        </w:rPr>
        <w:t xml:space="preserve">机构</w:t>
      </w:r>
      <w:r>
        <w:rPr>
          <w:rFonts w:hint="eastAsia" w:cs="仿宋_GB2312"/>
          <w:color w:val="000000"/>
        </w:rPr>
        <w:t xml:space="preserve">内涵建设。全力保障母婴安全，落实孕产妇全程服务管理机制，降低孕产妇和婴儿死亡率。加强妇女儿童重大疾病防治，提高妇女常见病筛查率和早诊早治率，做好妇女</w:t>
      </w:r>
      <w:r>
        <w:rPr>
          <w:color w:val="000000"/>
        </w:rPr>
        <w:t xml:space="preserve">“</w:t>
      </w:r>
      <w:r>
        <w:rPr>
          <w:rFonts w:hint="eastAsia" w:cs="仿宋_GB2312"/>
          <w:color w:val="000000"/>
        </w:rPr>
        <w:t xml:space="preserve">两癌</w:t>
      </w:r>
      <w:r>
        <w:rPr>
          <w:color w:val="000000"/>
        </w:rPr>
        <w:t xml:space="preserve">”</w:t>
      </w:r>
      <w:r>
        <w:rPr>
          <w:rFonts w:hint="eastAsia" w:cs="仿宋_GB2312"/>
          <w:color w:val="000000"/>
        </w:rPr>
        <w:t xml:space="preserve">检查与救治项目。完善覆盖城乡居民</w:t>
      </w:r>
      <w:r>
        <w:rPr>
          <w:rFonts w:hint="eastAsia" w:cs="仿宋_GB2312"/>
          <w:color w:val="000000"/>
          <w:lang w:eastAsia="zh-CN"/>
        </w:rPr>
        <w:t xml:space="preserve">的</w:t>
      </w:r>
      <w:r>
        <w:rPr>
          <w:rFonts w:hint="eastAsia" w:cs="仿宋_GB2312"/>
          <w:color w:val="000000"/>
        </w:rPr>
        <w:t xml:space="preserve">涵盖孕前、孕期、新生儿各阶段出生缺陷防治体系。倡导优生优育，加强出生缺陷综合防治，扩大新生儿疾病筛查，逐步将</w:t>
      </w:r>
      <w:r>
        <w:rPr>
          <w:color w:val="000000"/>
        </w:rPr>
        <w:t xml:space="preserve">ND</w:t>
      </w:r>
      <w:r>
        <w:rPr>
          <w:rFonts w:hint="eastAsia" w:cs="仿宋_GB2312"/>
          <w:color w:val="000000"/>
        </w:rPr>
        <w:t xml:space="preserve">、</w:t>
      </w:r>
      <w:r>
        <w:rPr>
          <w:color w:val="000000"/>
        </w:rPr>
        <w:t xml:space="preserve">NT</w:t>
      </w:r>
      <w:r>
        <w:rPr>
          <w:rFonts w:hint="eastAsia" w:cs="仿宋_GB2312"/>
          <w:color w:val="000000"/>
        </w:rPr>
        <w:t xml:space="preserve">、大排畸等项目扩展进免费产前筛查项目。支持社会力量发展托幼服务，鼓励托育机构向医院、学校等机构延伸。依托公立妇幼机构举办的托育机构与早期教育、感统训练、孤独症康复等服务结合，打造集托育、早教、保育、父母课堂、家庭教育服务为一体的综合服务平台。有效控制儿童近视，增加儿童身体素质。保障妇女儿童等群体权益，完善基层妇女儿童活动阵地，提高妇幼保健、托育等公共服务水平。</w:t>
      </w:r>
      <w:r>
        <w:rPr>
          <w:rFonts w:hint="eastAsia" w:cs="仿宋_GB2312"/>
          <w:color w:val="000000"/>
        </w:rPr>
      </w:r>
      <w:r>
        <w:rPr>
          <w:rFonts w:hint="eastAsia" w:cs="仿宋_GB2312"/>
          <w:color w:val="000000"/>
        </w:rPr>
      </w:r>
    </w:p>
    <w:p>
      <w:pPr>
        <w:pStyle w:val="737"/>
        <w:pBdr/>
        <w:spacing/>
        <w:ind w:firstLine="643"/>
        <w:rPr>
          <w:rFonts w:hint="eastAsia" w:ascii="楷体_GB2312" w:hAnsi="楷体_GB2312" w:eastAsia="楷体_GB2312" w:cs="楷体_GB2312"/>
          <w:b/>
          <w:bCs/>
          <w:color w:val="000000"/>
        </w:rPr>
      </w:pPr>
      <w:r>
        <w:rPr>
          <w:rFonts w:ascii="楷体_GB2312" w:hAnsi="楷体_GB2312" w:eastAsia="楷体_GB2312" w:cs="楷体_GB2312"/>
          <w:b/>
          <w:bCs/>
          <w:color w:val="000000"/>
        </w:rPr>
        <w:t xml:space="preserve">促进青年优先发展</w:t>
      </w:r>
      <w:r>
        <w:rPr>
          <w:rFonts w:hint="eastAsia" w:ascii="楷体_GB2312" w:hAnsi="楷体_GB2312" w:eastAsia="楷体_GB2312" w:cs="楷体_GB2312"/>
          <w:b/>
          <w:bCs/>
          <w:color w:val="000000"/>
          <w:lang w:eastAsia="zh-CN"/>
        </w:rPr>
        <w:t xml:space="preserve">。</w:t>
      </w:r>
      <w:r>
        <w:rPr>
          <w:rFonts w:cs="仿宋_GB2312"/>
          <w:color w:val="000000"/>
        </w:rPr>
        <w:t xml:space="preserve">加强思想政治引领，分类开展青年思想教育，突出实践体验，引导青年积极传播正能量。发挥青年生力军作用，</w:t>
      </w:r>
      <w:r>
        <w:rPr>
          <w:rFonts w:hint="eastAsia" w:cs="仿宋_GB2312"/>
          <w:color w:val="000000"/>
          <w:lang w:eastAsia="zh-CN"/>
        </w:rPr>
        <w:t xml:space="preserve">完善</w:t>
      </w:r>
      <w:r>
        <w:rPr>
          <w:rFonts w:cs="仿宋_GB2312"/>
          <w:color w:val="000000"/>
        </w:rPr>
        <w:t xml:space="preserve">青年技能人才培育</w:t>
      </w:r>
      <w:r>
        <w:rPr>
          <w:rFonts w:hint="eastAsia" w:cs="仿宋_GB2312"/>
          <w:color w:val="000000"/>
          <w:lang w:eastAsia="zh-CN"/>
        </w:rPr>
        <w:t xml:space="preserve">和</w:t>
      </w:r>
      <w:r>
        <w:rPr>
          <w:rFonts w:cs="仿宋_GB2312"/>
          <w:color w:val="000000"/>
        </w:rPr>
        <w:t xml:space="preserve">青年拔尖人才培养</w:t>
      </w:r>
      <w:r>
        <w:rPr>
          <w:rFonts w:hint="eastAsia" w:cs="仿宋_GB2312"/>
          <w:color w:val="000000"/>
          <w:lang w:eastAsia="zh-CN"/>
        </w:rPr>
        <w:t xml:space="preserve">工作</w:t>
      </w:r>
      <w:r>
        <w:rPr>
          <w:rFonts w:cs="仿宋_GB2312"/>
          <w:color w:val="000000"/>
        </w:rPr>
        <w:t xml:space="preserve">。实施青年志愿者行动，积极引导青年成为注册志愿者。服务青年健康成长，为大学生创业提供扶持。实施“希望伴飞计划”，对受疫情影响、留守儿童等有心理疏导需要的青少年提供个性化、精准化、专业化的心理疏导服务，提高青少年自我心理疏导能力和抗挫适应能力。切实维护青少年合法权益，鼓励和支持法律服务机构、社会组织、事业单位等依法为未成年人提供公益性法律服务和援助。鼓励引导青年人才到艰苦地区和基层一线建功立业。</w:t>
      </w:r>
      <w:r>
        <w:rPr>
          <w:rFonts w:hint="eastAsia" w:ascii="楷体_GB2312" w:hAnsi="楷体_GB2312" w:eastAsia="楷体_GB2312" w:cs="楷体_GB2312"/>
          <w:b/>
          <w:bCs/>
          <w:color w:val="000000"/>
        </w:rPr>
      </w:r>
      <w:r>
        <w:rPr>
          <w:rFonts w:hint="eastAsia" w:ascii="楷体_GB2312" w:hAnsi="楷体_GB2312" w:eastAsia="楷体_GB2312" w:cs="楷体_GB2312"/>
          <w:b/>
          <w:bCs/>
          <w:color w:val="000000"/>
        </w:rPr>
      </w:r>
    </w:p>
    <w:p>
      <w:pPr>
        <w:pStyle w:val="737"/>
        <w:pBdr/>
        <w:spacing/>
        <w:ind w:firstLine="643"/>
        <w:rPr>
          <w:rFonts w:hint="eastAsia"/>
          <w:color w:val="000000"/>
        </w:rPr>
      </w:pPr>
      <w:r>
        <w:rPr>
          <w:rFonts w:hint="eastAsia" w:ascii="楷体_GB2312" w:hAnsi="楷体_GB2312" w:eastAsia="楷体_GB2312" w:cs="楷体_GB2312"/>
          <w:b/>
          <w:bCs/>
          <w:color w:val="000000"/>
        </w:rPr>
        <w:t xml:space="preserve">积极应对人口老龄化</w:t>
      </w:r>
      <w:r>
        <w:rPr>
          <w:rFonts w:hint="eastAsia" w:cs="仿宋_GB2312"/>
          <w:b/>
          <w:bCs/>
          <w:color w:val="000000"/>
        </w:rPr>
        <w:t xml:space="preserve">。</w:t>
      </w:r>
      <w:r>
        <w:rPr>
          <w:rFonts w:hint="eastAsia" w:cs="仿宋_GB2312"/>
          <w:color w:val="000000"/>
        </w:rPr>
        <w:t xml:space="preserve">推进老年健康服务体系建设，探索建立包括健康教育、预防保健、疾病治疗、康复护理、长期照护、安宁疗护等综合连续的老年健康服务体系</w:t>
      </w:r>
      <w:r>
        <w:rPr>
          <w:rFonts w:hint="eastAsia" w:cs="仿宋_GB2312"/>
          <w:color w:val="000000"/>
          <w:lang w:eastAsia="zh-CN"/>
        </w:rPr>
        <w:t xml:space="preserve">，</w:t>
      </w:r>
      <w:r>
        <w:rPr>
          <w:rFonts w:hint="eastAsia" w:cs="仿宋_GB2312"/>
          <w:color w:val="000000"/>
        </w:rPr>
        <w:t xml:space="preserve">发展老年医院、康复医院、护理院、安宁疗护等医疗机构和医养结合机构，增加康复和护理床位。实施老年健康促进行动，全面落实老年医疗服务优待政策，做实老年人家庭医生签约服务，丰富老年健康管理内容。落实老年人健康体检，指导做好失能老年人评估项目。强化养老服务信息技术支撑，构建覆盖家庭、乡镇和机构的</w:t>
      </w:r>
      <w:r>
        <w:rPr>
          <w:color w:val="000000"/>
        </w:rPr>
        <w:t xml:space="preserve">“</w:t>
      </w:r>
      <w:r>
        <w:rPr>
          <w:rFonts w:hint="eastAsia" w:cs="仿宋_GB2312"/>
          <w:color w:val="000000"/>
        </w:rPr>
        <w:t xml:space="preserve">互联网</w:t>
      </w:r>
      <w:r>
        <w:rPr>
          <w:color w:val="000000"/>
        </w:rPr>
        <w:t xml:space="preserve">+</w:t>
      </w:r>
      <w:r>
        <w:rPr>
          <w:rFonts w:hint="eastAsia" w:cs="仿宋_GB2312"/>
          <w:color w:val="000000"/>
        </w:rPr>
        <w:t xml:space="preserve">养老</w:t>
      </w:r>
      <w:r>
        <w:rPr>
          <w:color w:val="000000"/>
        </w:rPr>
        <w:t xml:space="preserve">”</w:t>
      </w:r>
      <w:r>
        <w:rPr>
          <w:rFonts w:hint="eastAsia" w:cs="仿宋_GB2312"/>
          <w:color w:val="000000"/>
        </w:rPr>
        <w:t xml:space="preserve">云平台。强化老年电子健康档案建设。</w:t>
      </w:r>
      <w:r>
        <w:rPr>
          <w:rFonts w:hint="eastAsia" w:hAnsi="仿宋" w:cs="仿宋"/>
        </w:rPr>
        <w:t xml:space="preserve">完善终身学习体系，大力发展“互联网+教育”，办好各级老年大学，建设学习型社会。</w:t>
      </w:r>
      <w:r>
        <w:rPr>
          <w:rFonts w:hint="eastAsia"/>
          <w:color w:val="000000"/>
        </w:rPr>
      </w:r>
      <w:r>
        <w:rPr>
          <w:rFonts w:hint="eastAsia"/>
          <w:color w:val="000000"/>
        </w:rPr>
      </w:r>
    </w:p>
    <w:p>
      <w:pPr>
        <w:pStyle w:val="737"/>
        <w:pBdr/>
        <w:spacing/>
        <w:ind w:firstLine="0"/>
        <w:rPr>
          <w:color w:val="000000"/>
        </w:rPr>
      </w:pPr>
      <w:r>
        <w:rPr>
          <w:color w:val="000000"/>
        </w:rPr>
        <w:br w:type="page" w:clear="all"/>
      </w:r>
      <w:r>
        <w:rPr>
          <w:color w:val="000000"/>
        </w:rPr>
      </w:r>
      <w:r>
        <w:rPr>
          <w:color w:val="000000"/>
        </w:rPr>
      </w:r>
    </w:p>
    <w:p>
      <w:pPr>
        <w:pStyle w:val="737"/>
        <w:pBdr/>
        <w:spacing/>
        <w:ind w:firstLine="640"/>
        <w:rPr>
          <w:color w:val="000000"/>
        </w:rPr>
      </w:pPr>
      <w:r>
        <w:rPr>
          <w:color w:val="000000"/>
        </w:rPr>
      </w:r>
      <w:r>
        <w:rPr>
          <w:color w:val="000000"/>
        </w:rPr>
      </w:r>
    </w:p>
    <w:p>
      <w:pPr>
        <w:pStyle w:val="738"/>
        <w:pBdr/>
        <w:spacing/>
        <w:ind/>
        <w:rPr>
          <w:rFonts w:ascii="方正小标宋简体" w:eastAsia="方正小标宋简体"/>
          <w:b w:val="0"/>
          <w:bCs w:val="0"/>
          <w:color w:val="000000"/>
          <w:sz w:val="36"/>
          <w:szCs w:val="36"/>
        </w:rPr>
      </w:pPr>
      <w:r>
        <w:rPr>
          <w:rFonts w:hint="eastAsia" w:ascii="方正小标宋简体" w:eastAsia="方正小标宋简体" w:cs="方正小标宋简体"/>
          <w:b w:val="0"/>
          <w:bCs w:val="0"/>
          <w:color w:val="000000"/>
          <w:sz w:val="36"/>
          <w:szCs w:val="36"/>
        </w:rPr>
        <w:t xml:space="preserve">第十四章</w:t>
      </w:r>
      <w:r>
        <w:rPr>
          <w:rFonts w:ascii="方正小标宋简体" w:eastAsia="方正小标宋简体" w:cs="方正小标宋简体"/>
          <w:b w:val="0"/>
          <w:bCs w:val="0"/>
          <w:color w:val="000000"/>
          <w:sz w:val="36"/>
          <w:szCs w:val="36"/>
        </w:rPr>
        <w:t xml:space="preserve"> </w:t>
      </w:r>
      <w:r>
        <w:rPr>
          <w:rFonts w:hint="eastAsia" w:ascii="方正小标宋简体" w:eastAsia="方正小标宋简体" w:cs="方正小标宋简体"/>
          <w:b w:val="0"/>
          <w:bCs w:val="0"/>
          <w:color w:val="000000"/>
          <w:sz w:val="36"/>
          <w:szCs w:val="36"/>
        </w:rPr>
        <w:t xml:space="preserve">保障和改善社会民生</w:t>
      </w:r>
      <w:r>
        <w:rPr>
          <w:rFonts w:hint="eastAsia" w:ascii="方正小标宋简体" w:eastAsia="方正小标宋简体" w:cs="方正小标宋简体"/>
          <w:b w:val="0"/>
          <w:bCs w:val="0"/>
          <w:color w:val="000000"/>
          <w:sz w:val="36"/>
          <w:szCs w:val="36"/>
          <w:lang w:val="en-US"/>
        </w:rPr>
        <w:t xml:space="preserve"> </w:t>
      </w:r>
      <w:r>
        <w:rPr>
          <w:rFonts w:hint="eastAsia" w:ascii="方正小标宋简体" w:eastAsia="方正小标宋简体" w:cs="方正小标宋简体"/>
          <w:b w:val="0"/>
          <w:bCs w:val="0"/>
          <w:color w:val="000000"/>
          <w:sz w:val="36"/>
          <w:szCs w:val="36"/>
        </w:rPr>
        <w:t xml:space="preserve">促进发展成果人民共享</w:t>
      </w:r>
      <w:r>
        <w:rPr>
          <w:rFonts w:ascii="方正小标宋简体" w:eastAsia="方正小标宋简体"/>
          <w:b w:val="0"/>
          <w:bCs w:val="0"/>
          <w:color w:val="000000"/>
          <w:sz w:val="36"/>
          <w:szCs w:val="36"/>
        </w:rPr>
      </w:r>
      <w:r>
        <w:rPr>
          <w:rFonts w:ascii="方正小标宋简体" w:eastAsia="方正小标宋简体"/>
          <w:b w:val="0"/>
          <w:bCs w:val="0"/>
          <w:color w:val="000000"/>
          <w:sz w:val="36"/>
          <w:szCs w:val="36"/>
        </w:rPr>
      </w:r>
    </w:p>
    <w:p>
      <w:pPr>
        <w:pStyle w:val="737"/>
        <w:pBdr/>
        <w:spacing/>
        <w:ind w:firstLine="640"/>
        <w:rPr>
          <w:color w:val="000000"/>
        </w:rPr>
      </w:pPr>
      <w:r>
        <w:rPr>
          <w:color w:val="000000"/>
        </w:rPr>
      </w:r>
      <w:r>
        <w:rPr>
          <w:color w:val="000000"/>
        </w:rPr>
      </w:r>
    </w:p>
    <w:p>
      <w:pPr>
        <w:pStyle w:val="737"/>
        <w:pBdr/>
        <w:spacing/>
        <w:ind w:firstLine="640"/>
        <w:rPr>
          <w:color w:val="000000"/>
        </w:rPr>
      </w:pPr>
      <w:r>
        <w:rPr>
          <w:rFonts w:hint="eastAsia" w:cs="仿宋_GB2312"/>
          <w:color w:val="000000"/>
        </w:rPr>
        <w:t xml:space="preserve">强化就业优先政策，把稳就业保就业工作放在首位，健全基本公共服务体系，扎实推动共同富裕，不断增强人民群众获得感、幸福感、安全感。</w:t>
      </w:r>
      <w:r>
        <w:rPr>
          <w:color w:val="000000"/>
        </w:rPr>
      </w:r>
      <w:r>
        <w:rPr>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rPr>
          <w:rFonts w:hint="eastAsia" w:ascii="黑体" w:hAnsi="黑体" w:eastAsia="黑体" w:cs="黑体"/>
          <w:b w:val="0"/>
          <w:bCs w:val="0"/>
          <w:color w:val="000000"/>
        </w:rPr>
        <w:t xml:space="preserve">一、保障居民充分就业</w:t>
      </w:r>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3"/>
        <w:rPr>
          <w:rFonts w:cs="仿宋_GB2312"/>
          <w:color w:val="000000"/>
        </w:rPr>
      </w:pPr>
      <w:r>
        <w:rPr>
          <w:rFonts w:hint="eastAsia" w:ascii="楷体_GB2312" w:hAnsi="楷体_GB2312" w:eastAsia="楷体_GB2312" w:cs="楷体_GB2312"/>
          <w:b/>
          <w:bCs/>
          <w:color w:val="000000"/>
        </w:rPr>
        <w:t xml:space="preserve">坚持就业优先战略</w:t>
      </w:r>
      <w:r>
        <w:rPr>
          <w:rFonts w:hint="eastAsia" w:cs="仿宋_GB2312"/>
          <w:b/>
          <w:bCs/>
          <w:color w:val="000000"/>
        </w:rPr>
        <w:t xml:space="preserve">。</w:t>
      </w:r>
      <w:r>
        <w:rPr>
          <w:rFonts w:hint="eastAsia" w:cs="仿宋_GB2312"/>
          <w:color w:val="000000"/>
        </w:rPr>
        <w:t xml:space="preserve">健全政府投资和重大项目促进就业的考核机制，同等条件下对创造就业岗位多、岗位质量好的项目优先安排。发展现代物流、旅游休闲、家庭服务等吸纳就业能力强的服务业。拓展小微企业就业渠道，落实融资支持和用工鼓励政策，创建国家级小微企业创业创新示范市。推动返乡入乡创业园建设，带动农民工就地就近就业。落实和完善失业保险支持企业稳定就业岗位政策，完善失业监测统计和预警机制。</w:t>
      </w:r>
      <w:r>
        <w:rPr>
          <w:rFonts w:cs="仿宋_GB2312"/>
          <w:color w:val="000000"/>
        </w:rPr>
      </w:r>
      <w:r>
        <w:rPr>
          <w:rFonts w:cs="仿宋_GB2312"/>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促进创业带动就业</w:t>
      </w:r>
      <w:r>
        <w:rPr>
          <w:rFonts w:hint="eastAsia"/>
          <w:b/>
          <w:bCs/>
          <w:color w:val="000000"/>
        </w:rPr>
        <w:t xml:space="preserve">。</w:t>
      </w:r>
      <w:r>
        <w:rPr>
          <w:rFonts w:hint="eastAsia"/>
          <w:color w:val="000000"/>
        </w:rPr>
        <w:t xml:space="preserve">全力打造双创升级版，推动平台升级、环境升级、保障升级、主体升级、开放升级，推动自主创业成为实现更有体面工作、更高质量就业的主抓手。加快创业孵化基地、众创空间等建设，试点推动老旧商业设施、仓储设施、闲置楼宇、过剩商业地产转为创业孵化基地，充分释放创业带动就业的“倍增效应”。深入推进就业创业领域“放管服”改革，优化、简化公共就业服务流程。创新优惠政策，完善资金扶持、职业培训等举措，提升创业指导、创业培训、创业担保贷款等“一条龙”服务水平。</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着力提升就业质量</w:t>
      </w:r>
      <w:r>
        <w:rPr>
          <w:rFonts w:hint="eastAsia" w:cs="仿宋_GB2312"/>
          <w:b/>
          <w:bCs/>
          <w:color w:val="000000"/>
        </w:rPr>
        <w:t xml:space="preserve">。</w:t>
      </w:r>
      <w:r>
        <w:rPr>
          <w:rFonts w:hint="eastAsia" w:cs="仿宋_GB2312"/>
          <w:color w:val="000000"/>
        </w:rPr>
        <w:t xml:space="preserve">重点推进大学生、农民、城镇失业人员、引进人才、留学回国人员和返乡退役军人创业，支持事业单位专业技术人员在职创业、离岗创业，</w:t>
      </w:r>
      <w:r>
        <w:rPr>
          <w:rFonts w:hint="eastAsia" w:cs="仿宋_GB2312"/>
          <w:color w:val="000000"/>
          <w:lang w:eastAsia="zh-CN"/>
        </w:rPr>
        <w:t xml:space="preserve">推动</w:t>
      </w:r>
      <w:r>
        <w:rPr>
          <w:rFonts w:hint="eastAsia" w:cs="仿宋_GB2312"/>
          <w:color w:val="000000"/>
        </w:rPr>
        <w:t xml:space="preserve">生存型创业向发展型创业转变。推行终身职业技能培训制度，构建劳动者终身职业技能培训体系，开展就业技能培训、岗位技能提升培训，实施不同群体、不同层次的专项培训项目，促进培训与就业紧密对接、技能提升与工作改善良性互动，培育适应产业转型升级发展的新型技能劳动大军。推进技工教育改革发展，支持随州技师学院加强技工教育“双品”建设。实施技能人才振兴计划，持续开展“神农工匠”技能竞赛活动，支持各县（市、区）争创技能</w:t>
      </w:r>
      <w:r>
        <w:rPr>
          <w:rFonts w:hint="eastAsia" w:cs="仿宋_GB2312"/>
          <w:color w:val="000000"/>
          <w:lang w:eastAsia="zh-CN"/>
        </w:rPr>
        <w:t xml:space="preserve">强</w:t>
      </w:r>
      <w:r>
        <w:rPr>
          <w:rFonts w:hint="eastAsia" w:cs="仿宋_GB2312"/>
          <w:color w:val="000000"/>
        </w:rPr>
        <w:t xml:space="preserve">省示范县。</w:t>
      </w:r>
      <w:r>
        <w:rPr>
          <w:rFonts w:hint="eastAsia"/>
          <w:color w:val="000000"/>
        </w:rPr>
        <w:t xml:space="preserve">完善政府、工会、企业共同参与的协商协调机制，构建和谐劳动关系，促进广大劳动者实现体面劳动、全面发展。</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统筹重点群体就业</w:t>
      </w:r>
      <w:r>
        <w:rPr>
          <w:rFonts w:hint="eastAsia" w:cs="仿宋_GB2312"/>
          <w:b/>
          <w:bCs/>
          <w:color w:val="000000"/>
        </w:rPr>
        <w:t xml:space="preserve">。</w:t>
      </w:r>
      <w:r>
        <w:rPr>
          <w:rFonts w:hint="eastAsia" w:cs="仿宋_GB2312"/>
          <w:color w:val="000000"/>
        </w:rPr>
        <w:t xml:space="preserve">重点解决高校毕业生、返乡农民工、退役军人、就业困难人员等群体就业，加强工资保障。充分发挥公共就业服务中心平台作用，不断强化职业介绍和职业指导服务，为劳动者和用人单位即时提供就业岗位和企业招聘需求等各类就业信息，消除就业性别歧视。通过开展</w:t>
      </w:r>
      <w:r>
        <w:rPr>
          <w:color w:val="000000"/>
        </w:rPr>
        <w:t xml:space="preserve">“</w:t>
      </w:r>
      <w:r>
        <w:rPr>
          <w:rFonts w:hint="eastAsia" w:cs="仿宋_GB2312"/>
          <w:color w:val="000000"/>
        </w:rPr>
        <w:t xml:space="preserve">就业援助月</w:t>
      </w:r>
      <w:r>
        <w:rPr>
          <w:color w:val="000000"/>
        </w:rPr>
        <w:t xml:space="preserve">”“</w:t>
      </w:r>
      <w:r>
        <w:rPr>
          <w:rFonts w:hint="eastAsia" w:cs="仿宋_GB2312"/>
          <w:color w:val="000000"/>
        </w:rPr>
        <w:t xml:space="preserve">就业扶贫</w:t>
      </w:r>
      <w:r>
        <w:rPr>
          <w:color w:val="000000"/>
        </w:rPr>
        <w:t xml:space="preserve">”</w:t>
      </w:r>
      <w:r>
        <w:rPr>
          <w:rFonts w:hint="eastAsia" w:cs="仿宋_GB2312"/>
          <w:color w:val="000000"/>
        </w:rPr>
        <w:t xml:space="preserve">等系列活动，加大对就业困难群体的帮扶力度。坚持</w:t>
      </w:r>
      <w:r>
        <w:rPr>
          <w:color w:val="000000"/>
        </w:rPr>
        <w:t xml:space="preserve">“</w:t>
      </w:r>
      <w:r>
        <w:rPr>
          <w:rFonts w:hint="eastAsia" w:cs="仿宋_GB2312"/>
          <w:color w:val="000000"/>
        </w:rPr>
        <w:t xml:space="preserve">培训为就业服务，就业依托培训、培训与就业紧密结合</w:t>
      </w:r>
      <w:r>
        <w:rPr>
          <w:color w:val="000000"/>
        </w:rPr>
        <w:t xml:space="preserve">”</w:t>
      </w:r>
      <w:r>
        <w:rPr>
          <w:rFonts w:hint="eastAsia" w:cs="仿宋_GB2312"/>
          <w:color w:val="000000"/>
        </w:rPr>
        <w:t xml:space="preserve">的培训方针，健全职业技能培训机制，推动培训促进就业，使更多的失业人员、进城求职的农村劳动者掌握一定技能。</w:t>
      </w:r>
      <w:r>
        <w:rPr>
          <w:color w:val="000000"/>
        </w:rPr>
      </w:r>
      <w:r>
        <w:rPr>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rPr>
          <w:rFonts w:hint="eastAsia" w:ascii="黑体" w:hAnsi="黑体" w:eastAsia="黑体" w:cs="黑体"/>
          <w:b w:val="0"/>
          <w:bCs w:val="0"/>
          <w:color w:val="000000"/>
        </w:rPr>
        <w:t xml:space="preserve">二、促进居民持续增收</w:t>
      </w:r>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稳定增加工资性收入</w:t>
      </w:r>
      <w:r>
        <w:rPr>
          <w:rFonts w:hint="eastAsia" w:cs="仿宋_GB2312"/>
          <w:b/>
          <w:bCs/>
          <w:color w:val="000000"/>
        </w:rPr>
        <w:t xml:space="preserve">。</w:t>
      </w:r>
      <w:r>
        <w:rPr>
          <w:rFonts w:hint="eastAsia" w:cs="仿宋_GB2312"/>
          <w:color w:val="000000"/>
        </w:rPr>
        <w:t xml:space="preserve">完善职业技能培训体系，努力扩大就业规模，实现就业水平和工资水平联动提升。健全工资决定机制、增长机制和支付保障机制，扩大企业职工集体协商覆盖面。加强农民工工资支付保障，提高技术工人待遇。完善机关事业单位工资制度，推动机关事业单位人员收入与经济发展、职务级别和岗位绩效相协调。合理确定国有企业管理人员薪酬水平，形成与职工之间合理的工资收入分配关系。</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重点提升经营性财产性收入</w:t>
      </w:r>
      <w:r>
        <w:rPr>
          <w:rFonts w:hint="eastAsia" w:cs="仿宋_GB2312"/>
          <w:b/>
          <w:bCs/>
          <w:color w:val="000000"/>
        </w:rPr>
        <w:t xml:space="preserve">。</w:t>
      </w:r>
      <w:r>
        <w:rPr>
          <w:rFonts w:hint="eastAsia" w:cs="仿宋_GB2312"/>
          <w:color w:val="000000"/>
        </w:rPr>
        <w:t xml:space="preserve">充分发挥创业致富的示范带动作用，深入实施全民创业工程，大幅提高经营性收入。促进居民提升安全理财意识，规范健全资本、产权、债券、房屋租赁等各类市场，丰富拓展租金、股息、红利等有效投资渠道。引导居民参股创办企业或者投资经营项目，稳步推进员工持股、岗位分红权激励，提高股权红利收入。</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推动促进农民增收致富</w:t>
      </w:r>
      <w:r>
        <w:rPr>
          <w:rFonts w:hint="eastAsia" w:cs="仿宋_GB2312"/>
          <w:b/>
          <w:bCs/>
          <w:color w:val="000000"/>
        </w:rPr>
        <w:t xml:space="preserve">。</w:t>
      </w:r>
      <w:r>
        <w:rPr>
          <w:rFonts w:hint="eastAsia" w:cs="仿宋_GB2312"/>
          <w:color w:val="000000"/>
        </w:rPr>
        <w:t xml:space="preserve">因地制宜培育发展特色高效农业和乡村旅游，拓展农业功能增加收入。大力推进农业产业化，合理分享农产品加工、流通增值收入。推出转岗再就业培训项目，引导农</w:t>
      </w:r>
      <w:r>
        <w:rPr>
          <w:rFonts w:hint="eastAsia" w:cs="仿宋_GB2312"/>
          <w:color w:val="000000"/>
          <w:lang w:eastAsia="zh-CN"/>
        </w:rPr>
        <w:t xml:space="preserve">村劳动力</w:t>
      </w:r>
      <w:r>
        <w:rPr>
          <w:rFonts w:hint="eastAsia" w:cs="仿宋_GB2312"/>
          <w:color w:val="000000"/>
        </w:rPr>
        <w:t xml:space="preserve">积极适应新兴产业技能要求，适度增加村容保洁、道路养护、林业维护、公共设施管护等公益性岗位，为贫困劳动力提供更多就地就业机会。深入推进农业供给侧结构性改革，瞄准消费需求，打造抗风险能力强的产业链，着力畅通农业产业链和资金链，保障产业循环、市场循环、经济社会循环的高效运转。落实好农业补贴政策和减税降费、信贷支持、融资担保、技能培训补贴、稳岗奖励等具体支持措施</w:t>
      </w:r>
      <w:r>
        <w:rPr>
          <w:rFonts w:hint="eastAsia" w:cs="仿宋_GB2312"/>
          <w:color w:val="000000"/>
          <w:lang w:eastAsia="zh-CN"/>
        </w:rPr>
        <w:t xml:space="preserve">。</w:t>
      </w:r>
      <w:r>
        <w:rPr>
          <w:rFonts w:hint="eastAsia" w:cs="仿宋_GB2312"/>
          <w:color w:val="000000"/>
        </w:rPr>
        <w:t xml:space="preserve">进一步强化惠农政策</w:t>
      </w:r>
      <w:r>
        <w:rPr>
          <w:rFonts w:hint="eastAsia" w:cs="仿宋_GB2312"/>
          <w:color w:val="000000"/>
          <w:lang w:eastAsia="zh-CN"/>
        </w:rPr>
        <w:t xml:space="preserve">执行力度</w:t>
      </w:r>
      <w:r>
        <w:rPr>
          <w:rFonts w:hint="eastAsia" w:cs="仿宋_GB2312"/>
          <w:color w:val="000000"/>
        </w:rPr>
        <w:t xml:space="preserve">，探索建立普惠性农民补贴长效机制，提高对农民的补贴力度，确保农民转移性收入适度增长。</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健全技术要素参与分配机制。</w:t>
      </w:r>
      <w:r>
        <w:rPr>
          <w:rFonts w:hint="eastAsia" w:cs="仿宋_GB2312"/>
          <w:color w:val="000000"/>
        </w:rPr>
        <w:t xml:space="preserve">健全资本知识、技术、管理等要素市场决定的报酬制度，完善年薪制、职工持股、技术和知识产权入股等分配制度。健全以实际贡献为评价标准的科技创新人才薪酬制度。</w:t>
      </w:r>
      <w:r>
        <w:rPr>
          <w:color w:val="000000"/>
        </w:rPr>
      </w:r>
      <w:r>
        <w:rPr>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rPr>
          <w:rFonts w:hint="eastAsia" w:ascii="黑体" w:hAnsi="黑体" w:eastAsia="黑体" w:cs="黑体"/>
          <w:b w:val="0"/>
          <w:bCs w:val="0"/>
          <w:color w:val="000000"/>
        </w:rPr>
        <w:t xml:space="preserve">三、完善社会保障体系</w:t>
      </w:r>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rFonts w:cs="仿宋_GB2312"/>
          <w:color w:val="000000"/>
          <w:lang w:val="en-US"/>
        </w:rPr>
      </w:pPr>
      <w:r>
        <w:rPr>
          <w:rFonts w:hint="eastAsia" w:cs="仿宋_GB2312"/>
          <w:color w:val="000000"/>
        </w:rPr>
        <w:t xml:space="preserve">坚持应保尽保，按照兜底线、织密网、建机制的要求，全面建成覆盖全民、统筹城乡、公平统一、可持续的多层次社会保障体系。</w:t>
      </w:r>
      <w:r>
        <w:rPr>
          <w:rFonts w:cs="仿宋_GB2312"/>
          <w:color w:val="000000"/>
          <w:lang w:val="en-US"/>
        </w:rPr>
      </w:r>
      <w:r>
        <w:rPr>
          <w:rFonts w:cs="仿宋_GB2312"/>
          <w:color w:val="000000"/>
          <w:lang w:val="en-US"/>
        </w:rPr>
      </w:r>
    </w:p>
    <w:p>
      <w:pPr>
        <w:pStyle w:val="737"/>
        <w:pBdr/>
        <w:spacing/>
        <w:ind w:firstLine="643"/>
        <w:rPr>
          <w:color w:val="000000"/>
        </w:rPr>
      </w:pPr>
      <w:r>
        <w:rPr>
          <w:rFonts w:hint="eastAsia" w:ascii="楷体_GB2312" w:hAnsi="楷体_GB2312" w:eastAsia="楷体_GB2312" w:cs="楷体_GB2312"/>
          <w:b/>
          <w:bCs/>
          <w:color w:val="000000"/>
        </w:rPr>
        <w:t xml:space="preserve">健全社会保障制度。</w:t>
      </w:r>
      <w:r>
        <w:rPr>
          <w:rFonts w:hint="eastAsia" w:cs="仿宋_GB2312"/>
          <w:color w:val="000000"/>
        </w:rPr>
        <w:t xml:space="preserve">推进全民参保计划全面实施，扎实开展全民参保扩面行动。完善城镇职工和城乡居民基本养老保险制度体系，对接基本养老保险全国统筹，增强养老保险制度可持续性。大力发展企业年金、职业年金、个人储蓄性养老保险和商业养老保险。健全基本养老保险筹资和待遇合理调整机制，稳步提升待遇水平。完善失业保险、工伤保险统筹制度。</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深化医疗保障制度改革。</w:t>
      </w:r>
      <w:r>
        <w:rPr>
          <w:rFonts w:hint="eastAsia" w:cs="仿宋_GB2312"/>
          <w:color w:val="000000"/>
        </w:rPr>
        <w:t xml:space="preserve">完成待遇保障、筹资运行、医保支付、基金监管、药品供应管理体系建设等重要机制和医药服务供给、医保管理服务等关键领域的改革任务。</w:t>
      </w:r>
      <w:r>
        <w:rPr>
          <w:rFonts w:hint="eastAsia" w:cs="仿宋_GB2312"/>
          <w:color w:val="000000"/>
        </w:rPr>
        <w:t xml:space="preserve">健全覆盖全民、依法参加的基本医疗保险制度和政策体系，</w:t>
      </w:r>
      <w:r>
        <w:rPr>
          <w:rFonts w:hint="eastAsia" w:cs="仿宋_GB2312"/>
          <w:color w:val="000000"/>
        </w:rPr>
        <w:t xml:space="preserve">完善医疗保险稳定可持续筹资和报销比例调整机制，</w:t>
      </w:r>
      <w:r>
        <w:rPr>
          <w:rFonts w:hint="eastAsia" w:cs="仿宋_GB2312"/>
          <w:color w:val="000000"/>
        </w:rPr>
        <w:t xml:space="preserve">逐步将门诊医疗费用纳入基本医疗保险统筹基金支付范围。建立健全医疗保障待遇清单制度，实施公平适度保障。完善重大疫情医疗救治费用保障机制，健全重大疫情医疗救治医保支付政策，确保在突发疫情等紧急情况时，医疗机构先救治、后收费，患者不因费用问题影响就医。落实资助重点救助对象参保缴费政策，增强医疗救助托底保障功能。</w:t>
      </w:r>
      <w:r>
        <w:rPr>
          <w:rFonts w:hint="eastAsia" w:cs="仿宋_GB2312"/>
          <w:color w:val="000000"/>
        </w:rPr>
        <w:t xml:space="preserve">完善城乡居民大病保险制度。</w:t>
      </w:r>
      <w:r>
        <w:rPr>
          <w:rFonts w:hint="eastAsia" w:cs="仿宋_GB2312"/>
          <w:color w:val="000000"/>
        </w:rPr>
        <w:t xml:space="preserve">促进多层次医疗保障体系发展，强化基本医疗保险、大病保险与医疗救助三重保障功能。</w:t>
      </w:r>
      <w:r>
        <w:rPr>
          <w:rFonts w:hint="eastAsia" w:cs="仿宋_GB2312"/>
          <w:color w:val="000000"/>
        </w:rPr>
        <w:t xml:space="preserve">全面做实基本医疗保险市级统筹，加强医疗救助基金管理，加强财政对医疗救助投入，促进医疗救助统筹层次与基本医疗保险统筹层次相协调，最大限度惠及</w:t>
      </w:r>
      <w:r>
        <w:rPr>
          <w:rFonts w:hint="eastAsia" w:cs="仿宋_GB2312"/>
          <w:color w:val="000000"/>
          <w:lang w:eastAsia="zh-CN"/>
        </w:rPr>
        <w:t xml:space="preserve">困难</w:t>
      </w:r>
      <w:r>
        <w:rPr>
          <w:rFonts w:hint="eastAsia" w:cs="仿宋_GB2312"/>
          <w:color w:val="000000"/>
        </w:rPr>
        <w:t xml:space="preserve">群众。加强医疗机构用药目录管理和规范指导，推动各级各类医疗机构及时根据省级目录动态调整本机构目录</w:t>
      </w:r>
      <w:r>
        <w:rPr>
          <w:rFonts w:hint="eastAsia" w:cs="仿宋_GB2312"/>
          <w:color w:val="000000"/>
          <w:lang w:eastAsia="zh-CN"/>
        </w:rPr>
        <w:t xml:space="preserve">，</w:t>
      </w:r>
      <w:r>
        <w:rPr>
          <w:rFonts w:hint="eastAsia" w:cs="仿宋_GB2312"/>
          <w:color w:val="000000"/>
        </w:rPr>
        <w:t xml:space="preserve">促进合理用药。</w:t>
      </w:r>
      <w:r>
        <w:rPr>
          <w:rFonts w:hint="eastAsia" w:cs="仿宋_GB2312"/>
          <w:color w:val="000000"/>
        </w:rPr>
        <w:t xml:space="preserve">完善基本医疗保险协议管理，支持</w:t>
      </w:r>
      <w:r>
        <w:rPr>
          <w:color w:val="000000"/>
        </w:rPr>
        <w:t xml:space="preserve">“</w:t>
      </w:r>
      <w:r>
        <w:rPr>
          <w:rFonts w:hint="eastAsia" w:cs="仿宋_GB2312"/>
          <w:color w:val="000000"/>
        </w:rPr>
        <w:t xml:space="preserve">互联网</w:t>
      </w:r>
      <w:r>
        <w:rPr>
          <w:color w:val="000000"/>
        </w:rPr>
        <w:t xml:space="preserve">+</w:t>
      </w:r>
      <w:r>
        <w:rPr>
          <w:rFonts w:hint="eastAsia" w:cs="仿宋_GB2312"/>
          <w:color w:val="000000"/>
        </w:rPr>
        <w:t xml:space="preserve">医疗</w:t>
      </w:r>
      <w:r>
        <w:rPr>
          <w:color w:val="000000"/>
        </w:rPr>
        <w:t xml:space="preserve">”</w:t>
      </w:r>
      <w:r>
        <w:rPr>
          <w:rFonts w:hint="eastAsia" w:cs="仿宋_GB2312"/>
          <w:color w:val="000000"/>
        </w:rPr>
        <w:t xml:space="preserve">等新服务模式发展。探索推进以按病种付费为主的多元复合式医保支付方式改革。推进药品耗材集中采购改革，积极探索对未纳入国</w:t>
      </w:r>
      <w:r>
        <w:rPr>
          <w:rFonts w:hint="eastAsia" w:cs="仿宋_GB2312"/>
          <w:color w:val="000000"/>
        </w:rPr>
        <w:t xml:space="preserve">家、省组</w:t>
      </w:r>
      <w:r>
        <w:rPr>
          <w:rFonts w:hint="eastAsia" w:cs="仿宋_GB2312"/>
          <w:color w:val="000000"/>
        </w:rPr>
        <w:t xml:space="preserve">织集中采购和使用的药品开展带量、带预算采购，鼓励医疗机构联合开展带量谈判采购，加大高值医用耗材治理力度。适应人口流动需要，做好各类人群参保和医保关系跨地区转移接续，完善异地就医直接结算服务。</w:t>
      </w:r>
      <w:r>
        <w:rPr>
          <w:rFonts w:hint="eastAsia" w:cs="仿宋_GB2312"/>
          <w:color w:val="000000"/>
        </w:rPr>
        <w:t xml:space="preserve">鼓励商业保险机构参与医保经办。</w:t>
      </w:r>
      <w:r>
        <w:rPr>
          <w:color w:val="000000"/>
        </w:rPr>
      </w:r>
      <w:r>
        <w:rPr>
          <w:color w:val="000000"/>
        </w:rPr>
      </w:r>
    </w:p>
    <w:p>
      <w:pPr>
        <w:pStyle w:val="737"/>
        <w:pBdr/>
        <w:spacing/>
        <w:ind w:firstLine="643"/>
        <w:rPr>
          <w:color w:val="000000"/>
        </w:rPr>
      </w:pPr>
      <w:r>
        <w:rPr>
          <w:rFonts w:hint="eastAsia" w:ascii="楷体_GB2312" w:hAnsi="楷体_GB2312" w:eastAsia="楷体_GB2312" w:cs="楷体_GB2312"/>
          <w:b/>
          <w:bCs/>
          <w:color w:val="000000"/>
        </w:rPr>
        <w:t xml:space="preserve">完善住房保障制度。</w:t>
      </w:r>
      <w:r>
        <w:rPr>
          <w:rFonts w:hint="eastAsia" w:cs="仿宋_GB2312"/>
          <w:color w:val="000000"/>
        </w:rPr>
        <w:t xml:space="preserve">深化住房制度改革，完善城镇住房保障体系，实施安居工程，加快推进老旧小区改造。</w:t>
      </w:r>
      <w:r>
        <w:rPr>
          <w:rFonts w:hint="eastAsia" w:cs="仿宋_GB2312"/>
          <w:color w:val="000000"/>
          <w:lang w:val="en-US"/>
        </w:rPr>
        <w:t xml:space="preserve">实行以公租房实物配租和租赁补贴保障并举的保障方式，满足困难群众多样化居住需求。完善租赁补贴保障政策</w:t>
      </w:r>
      <w:r>
        <w:rPr>
          <w:rFonts w:hint="eastAsia" w:cs="仿宋_GB2312"/>
          <w:color w:val="000000"/>
          <w:lang w:val="en-US" w:eastAsia="zh-CN"/>
        </w:rPr>
        <w:t xml:space="preserve">，</w:t>
      </w:r>
      <w:r>
        <w:rPr>
          <w:rFonts w:hint="eastAsia" w:cs="仿宋_GB2312"/>
          <w:color w:val="000000"/>
          <w:lang w:val="en-US"/>
        </w:rPr>
        <w:t xml:space="preserve">将租赁补贴保障范围扩大到中等偏下收入家庭和新就业职工、外来务工人员等新市民群体。采取政府投资新建、在商住小区配建、收购小户型存量房屋等方式，适度增加政府公租房供应。在新就业无房职工和外来务工人员较为集中的开发区、产业园区和企业，通过集中建设或长期租赁、配建等方式，增加集体宿舍形式的公租房供应。依托政府大数据共享服务平台，推动公租房管理系统与婚姻、户籍、社保、不动产、工商登记、车辆等系统平台的互联互通</w:t>
      </w:r>
      <w:r>
        <w:rPr>
          <w:rFonts w:hint="eastAsia" w:cs="仿宋_GB2312"/>
          <w:color w:val="000000"/>
          <w:lang w:val="en-US" w:eastAsia="zh-CN"/>
        </w:rPr>
        <w:t xml:space="preserve">和</w:t>
      </w:r>
      <w:r>
        <w:rPr>
          <w:rFonts w:hint="eastAsia" w:cs="仿宋_GB2312"/>
          <w:color w:val="000000"/>
          <w:lang w:val="en-US"/>
        </w:rPr>
        <w:t xml:space="preserve">数据信息共享，实现公租房保障的网上申报、受理、审核、审批。</w:t>
      </w:r>
      <w:r>
        <w:rPr>
          <w:color w:val="000000"/>
        </w:rPr>
      </w:r>
      <w:r>
        <w:rPr>
          <w:color w:val="000000"/>
        </w:rPr>
      </w:r>
    </w:p>
    <w:p>
      <w:pPr>
        <w:pStyle w:val="737"/>
        <w:pBdr/>
        <w:spacing/>
        <w:ind w:firstLine="643"/>
        <w:rPr>
          <w:rFonts w:hint="eastAsia" w:cs="仿宋_GB2312"/>
          <w:color w:val="000000"/>
        </w:rPr>
      </w:pPr>
      <w:r>
        <w:rPr>
          <w:rFonts w:hint="eastAsia" w:ascii="楷体_GB2312" w:hAnsi="楷体_GB2312" w:eastAsia="楷体_GB2312" w:cs="楷体_GB2312"/>
          <w:b/>
          <w:bCs/>
          <w:color w:val="000000"/>
        </w:rPr>
        <w:t xml:space="preserve">健全社会救助服务体系</w:t>
      </w:r>
      <w:r>
        <w:rPr>
          <w:rFonts w:hint="eastAsia" w:cs="仿宋_GB2312"/>
          <w:color w:val="000000"/>
        </w:rPr>
        <w:t xml:space="preserve">。建立健全以基本生活救助、专项社会救助、急难社会救助为主体，社会力量参与为补充，分层分类的社会救助体系。支持专业社会工作和慈善事业发展，广泛动员社会力量开展社会救济和社会互助、志愿服务活动。健全社会救助家庭经济状况核对机制，推动社会救助信息共享，促进精准救助。加强基层流浪乞讨救助服务设施建设，建立健全农村留守儿童、困境儿童关爱保护机制。大力弘扬慈善文化，创新慈善模式，提高慈善事业的社会参与度。加快殡仪设施改造升级，构建殡葬服务体系，加强城乡公益性公墓（骨灰堂）建设，到</w:t>
      </w:r>
      <w:r>
        <w:rPr>
          <w:rFonts w:hint="eastAsia" w:cs="仿宋_GB2312"/>
          <w:color w:val="000000"/>
          <w:lang w:val="en-US"/>
        </w:rPr>
        <w:t xml:space="preserve">2025年，公益性公墓（骨灰堂）覆盖所有县市及60%以上的乡镇中心村，</w:t>
      </w:r>
      <w:r>
        <w:rPr>
          <w:rFonts w:hint="eastAsia" w:cs="仿宋_GB2312"/>
          <w:color w:val="000000"/>
        </w:rPr>
        <w:t xml:space="preserve">推动形成文明健康、绿色、生态的殡葬方式。</w:t>
      </w:r>
      <w:r>
        <w:rPr>
          <w:rFonts w:hint="eastAsia" w:cs="仿宋_GB2312"/>
          <w:color w:val="000000"/>
        </w:rPr>
      </w:r>
      <w:r>
        <w:rPr>
          <w:rFonts w:hint="eastAsia" w:cs="仿宋_GB2312"/>
          <w:color w:val="000000"/>
        </w:rPr>
      </w:r>
    </w:p>
    <w:p>
      <w:pPr>
        <w:pStyle w:val="737"/>
        <w:pBdr/>
        <w:spacing/>
        <w:ind w:firstLine="643"/>
        <w:rPr>
          <w:rFonts w:hint="eastAsia"/>
          <w:color w:val="000000"/>
        </w:rPr>
      </w:pPr>
      <w:r>
        <w:rPr>
          <w:rFonts w:hint="eastAsia" w:ascii="楷体_GB2312" w:hAnsi="楷体_GB2312" w:eastAsia="楷体_GB2312" w:cs="楷体_GB2312"/>
          <w:b/>
          <w:bCs/>
          <w:color w:val="000000"/>
        </w:rPr>
        <w:t xml:space="preserve">提高残疾人自我发展能力</w:t>
      </w:r>
      <w:r>
        <w:rPr>
          <w:rFonts w:hint="eastAsia" w:cs="仿宋_GB2312"/>
          <w:b/>
          <w:bCs/>
          <w:color w:val="000000"/>
        </w:rPr>
        <w:t xml:space="preserve">。</w:t>
      </w:r>
      <w:r>
        <w:rPr>
          <w:rFonts w:hint="eastAsia" w:cs="仿宋_GB2312"/>
          <w:color w:val="000000"/>
        </w:rPr>
        <w:t xml:space="preserve">健全残疾人关爱服务体系和设施，完善帮扶残疾人社会福利制度和残疾人就业支持体系，健全残疾人权益保障制度。坚持普惠加特惠，兜底保障残疾人基本民生，完善残疾儿童康复救助制度体系，提升残疾人康复服务供给能力，扎实做好</w:t>
      </w:r>
      <w:r>
        <w:rPr>
          <w:rFonts w:hint="eastAsia" w:cs="仿宋_GB2312"/>
          <w:color w:val="000000"/>
          <w:lang w:eastAsia="zh-CN"/>
        </w:rPr>
        <w:t xml:space="preserve">生活困难</w:t>
      </w:r>
      <w:r>
        <w:rPr>
          <w:rFonts w:hint="eastAsia" w:cs="仿宋_GB2312"/>
          <w:color w:val="000000"/>
          <w:lang w:val="en-US"/>
        </w:rPr>
        <w:t xml:space="preserve">重度</w:t>
      </w:r>
      <w:r>
        <w:rPr>
          <w:rFonts w:hint="eastAsia" w:cs="仿宋_GB2312"/>
          <w:color w:val="000000"/>
        </w:rPr>
        <w:t xml:space="preserve">残疾人</w:t>
      </w:r>
      <w:r>
        <w:rPr>
          <w:rFonts w:hint="eastAsia" w:cs="仿宋_GB2312"/>
          <w:color w:val="000000"/>
          <w:lang w:val="en-US"/>
        </w:rPr>
        <w:t xml:space="preserve">照护</w:t>
      </w:r>
      <w:r>
        <w:rPr>
          <w:rFonts w:hint="eastAsia" w:cs="仿宋_GB2312"/>
          <w:color w:val="000000"/>
        </w:rPr>
        <w:t xml:space="preserve">服务相关工作。加强公共场所障碍改造，推进公共服务场所信息化无障碍设施建设。提高残疾人受教育水平。</w:t>
      </w:r>
      <w:r>
        <w:rPr>
          <w:rFonts w:hint="eastAsia"/>
          <w:color w:val="000000"/>
        </w:rPr>
      </w:r>
      <w:r>
        <w:rPr>
          <w:rFonts w:hint="eastAsia"/>
          <w:color w:val="000000"/>
        </w:rPr>
      </w:r>
    </w:p>
    <w:p>
      <w:pPr>
        <w:pStyle w:val="737"/>
        <w:pBdr/>
        <w:spacing/>
        <w:ind w:firstLine="640"/>
        <w:rPr>
          <w:rFonts w:hint="eastAsia" w:ascii="楷体_GB2312" w:hAnsi="楷体_GB2312" w:eastAsia="楷体_GB2312" w:cs="楷体_GB2312"/>
          <w:b/>
          <w:bCs/>
          <w:color w:val="000000"/>
        </w:rPr>
      </w:pPr>
      <w:r>
        <w:rPr>
          <w:color w:val="000000"/>
        </w:rPr>
        <w:br w:type="page" w:clear="all"/>
      </w:r>
      <w:r>
        <w:rPr>
          <w:rFonts w:hint="eastAsia" w:ascii="楷体_GB2312" w:hAnsi="楷体_GB2312" w:eastAsia="楷体_GB2312" w:cs="楷体_GB2312"/>
          <w:b/>
          <w:bCs/>
          <w:color w:val="000000"/>
        </w:rPr>
      </w:r>
      <w:r>
        <w:rPr>
          <w:rFonts w:hint="eastAsia" w:ascii="楷体_GB2312" w:hAnsi="楷体_GB2312" w:eastAsia="楷体_GB2312" w:cs="楷体_GB2312"/>
          <w:b/>
          <w:bCs/>
          <w:color w:val="000000"/>
        </w:rPr>
      </w:r>
    </w:p>
    <w:p>
      <w:pPr>
        <w:pStyle w:val="792"/>
        <w:pBdr/>
        <w:spacing/>
        <w:ind w:firstLine="480" w:left="640"/>
        <w:rPr>
          <w:color w:val="000000"/>
        </w:rPr>
      </w:pPr>
      <w:r>
        <w:rPr>
          <w:color w:val="000000"/>
        </w:rPr>
      </w:r>
      <w:r>
        <w:rPr>
          <w:color w:val="000000"/>
        </w:rPr>
      </w:r>
    </w:p>
    <w:p>
      <w:pPr>
        <w:pStyle w:val="738"/>
        <w:pBdr/>
        <w:spacing/>
        <w:ind/>
        <w:rPr>
          <w:rStyle w:val="778"/>
          <w:rFonts w:ascii="方正小标宋简体" w:eastAsia="方正小标宋简体"/>
          <w:b/>
          <w:bCs/>
          <w:color w:val="000000"/>
          <w:sz w:val="36"/>
          <w:szCs w:val="36"/>
          <w:u w:val="none"/>
        </w:rPr>
      </w:pPr>
      <w:r>
        <w:rPr>
          <w:rStyle w:val="778"/>
          <w:rFonts w:hint="eastAsia" w:ascii="方正小标宋简体" w:eastAsia="方正小标宋简体" w:cs="方正小标宋简体"/>
          <w:b/>
          <w:bCs/>
          <w:color w:val="000000"/>
          <w:sz w:val="36"/>
          <w:szCs w:val="36"/>
          <w:u w:val="none"/>
        </w:rPr>
        <w:t xml:space="preserve">第十五章</w:t>
      </w:r>
      <w:r>
        <w:rPr>
          <w:rStyle w:val="778"/>
          <w:rFonts w:ascii="方正小标宋简体" w:eastAsia="方正小标宋简体" w:cs="方正小标宋简体"/>
          <w:b/>
          <w:bCs/>
          <w:color w:val="000000"/>
          <w:sz w:val="36"/>
          <w:szCs w:val="36"/>
          <w:u w:val="none"/>
        </w:rPr>
        <w:t xml:space="preserve"> </w:t>
      </w:r>
      <w:r>
        <w:rPr>
          <w:rStyle w:val="778"/>
          <w:rFonts w:hint="eastAsia" w:ascii="方正小标宋简体" w:eastAsia="方正小标宋简体" w:cs="方正小标宋简体"/>
          <w:b/>
          <w:bCs/>
          <w:color w:val="000000"/>
          <w:sz w:val="36"/>
          <w:szCs w:val="36"/>
          <w:u w:val="none"/>
        </w:rPr>
        <w:t xml:space="preserve">推进市域治理现代化</w:t>
      </w:r>
      <w:r>
        <w:rPr>
          <w:rStyle w:val="778"/>
          <w:rFonts w:hint="eastAsia" w:ascii="方正小标宋简体" w:eastAsia="方正小标宋简体" w:cs="方正小标宋简体"/>
          <w:b/>
          <w:bCs/>
          <w:color w:val="000000"/>
          <w:sz w:val="36"/>
          <w:szCs w:val="36"/>
          <w:u w:val="none"/>
          <w:lang w:val="en-US"/>
        </w:rPr>
        <w:t xml:space="preserve"> </w:t>
      </w:r>
      <w:r>
        <w:rPr>
          <w:rStyle w:val="778"/>
          <w:rFonts w:hint="eastAsia" w:ascii="方正小标宋简体" w:eastAsia="方正小标宋简体" w:cs="方正小标宋简体"/>
          <w:b/>
          <w:bCs/>
          <w:color w:val="000000"/>
          <w:sz w:val="36"/>
          <w:szCs w:val="36"/>
          <w:u w:val="none"/>
        </w:rPr>
        <w:t xml:space="preserve">提高治理效能</w:t>
      </w:r>
      <w:r>
        <w:rPr>
          <w:rStyle w:val="778"/>
          <w:rFonts w:ascii="方正小标宋简体" w:eastAsia="方正小标宋简体"/>
          <w:b/>
          <w:bCs/>
          <w:color w:val="000000"/>
          <w:sz w:val="36"/>
          <w:szCs w:val="36"/>
          <w:u w:val="none"/>
        </w:rPr>
      </w:r>
      <w:r>
        <w:rPr>
          <w:rStyle w:val="778"/>
          <w:rFonts w:ascii="方正小标宋简体" w:eastAsia="方正小标宋简体"/>
          <w:b/>
          <w:bCs/>
          <w:color w:val="000000"/>
          <w:sz w:val="36"/>
          <w:szCs w:val="36"/>
          <w:u w:val="none"/>
        </w:rPr>
      </w:r>
    </w:p>
    <w:p>
      <w:pPr>
        <w:pStyle w:val="737"/>
        <w:pBdr/>
        <w:spacing/>
        <w:ind w:firstLine="640"/>
        <w:rPr>
          <w:color w:val="000000"/>
        </w:rPr>
      </w:pPr>
      <w:r>
        <w:rPr>
          <w:color w:val="000000"/>
        </w:rPr>
      </w:r>
      <w:r>
        <w:rPr>
          <w:color w:val="000000"/>
        </w:rPr>
      </w:r>
    </w:p>
    <w:p>
      <w:pPr>
        <w:pStyle w:val="737"/>
        <w:pBdr/>
        <w:spacing/>
        <w:ind w:firstLine="640"/>
        <w:rPr>
          <w:color w:val="000000"/>
        </w:rPr>
      </w:pPr>
      <w:r>
        <w:rPr>
          <w:rFonts w:hint="eastAsia" w:cs="仿宋_GB2312"/>
          <w:color w:val="000000"/>
        </w:rPr>
        <w:t xml:space="preserve">坚持政府治理与社会自我调节、居民自治良性互动，完善党委领导、政府主导、社会协同、公众参与、法治保障的社会治理体系，推进社会治理精细化，构建全民共建共享的社会治理格局。统筹发展和安全，建设更高水平的平安随州，保障人民生命和财产安全，维护社会稳定和安全。</w:t>
      </w:r>
      <w:r>
        <w:rPr>
          <w:color w:val="000000"/>
        </w:rPr>
      </w:r>
      <w:r>
        <w:rPr>
          <w:color w:val="000000"/>
        </w:rPr>
      </w:r>
    </w:p>
    <w:p>
      <w:pPr>
        <w:pStyle w:val="737"/>
        <w:pBdr/>
        <w:spacing/>
        <w:ind w:firstLine="640"/>
        <w:rPr>
          <w:rFonts w:ascii="楷体_GB2312" w:eastAsia="楷体_GB2312"/>
          <w:color w:val="000000"/>
        </w:rPr>
      </w:pPr>
      <w:r>
        <w:rPr>
          <w:rFonts w:ascii="楷体_GB2312" w:eastAsia="楷体_GB2312"/>
          <w:color w:val="000000"/>
        </w:rPr>
      </w:r>
      <w:r>
        <w:rPr>
          <w:rFonts w:ascii="楷体_GB2312" w:eastAsia="楷体_GB2312"/>
          <w:color w:val="000000"/>
        </w:rPr>
      </w:r>
    </w:p>
    <w:p>
      <w:pPr>
        <w:pStyle w:val="739"/>
        <w:pBdr/>
        <w:spacing/>
        <w:ind w:firstLine="720"/>
        <w:rPr>
          <w:rFonts w:hint="eastAsia" w:ascii="黑体" w:hAnsi="黑体" w:eastAsia="黑体" w:cs="黑体"/>
          <w:b w:val="0"/>
          <w:bCs w:val="0"/>
          <w:color w:val="000000"/>
        </w:rPr>
      </w:pPr>
      <w:r>
        <w:rPr>
          <w:rFonts w:hint="eastAsia" w:ascii="黑体" w:hAnsi="黑体" w:eastAsia="黑体" w:cs="黑体"/>
          <w:b w:val="0"/>
          <w:bCs w:val="0"/>
          <w:color w:val="000000"/>
        </w:rPr>
        <w:t xml:space="preserve">一、深化民主法治建设</w:t>
      </w:r>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3"/>
        <w:rPr>
          <w:rFonts w:hint="eastAsia" w:cs="仿宋_GB2312"/>
          <w:color w:val="000000"/>
        </w:rPr>
      </w:pPr>
      <w:r>
        <w:rPr>
          <w:rStyle w:val="778"/>
          <w:rFonts w:hint="eastAsia" w:ascii="楷体_GB2312" w:hAnsi="楷体_GB2312" w:eastAsia="楷体_GB2312" w:cs="楷体_GB2312"/>
          <w:b/>
          <w:bCs/>
          <w:color w:val="000000"/>
          <w:u w:val="none"/>
        </w:rPr>
        <w:t xml:space="preserve">坚持和完善人民代表大会制度。</w:t>
      </w:r>
      <w:r>
        <w:rPr>
          <w:rFonts w:hint="eastAsia" w:cs="仿宋_GB2312"/>
          <w:color w:val="000000"/>
        </w:rPr>
        <w:t xml:space="preserve">围绕全面贯彻落实党中央决策部署、省委工作要求和中共随州市委工作安排，支持和保证人大及其常委会依法行使立法权、监督权、决定权、选举任免权，发挥人大及其常委会在立法工作中的主导作用。健全人大对“一府一委两院”监督制度，推进人大预算审查监督重点向支出预算和政策拓展，健全国有资产管理、政府债务管理、审计查出突出问题整改定期向人大报告制度。健全人大讨论决定重大事项协调机制和各级政府重大决策出台前向本级人大报告制度。健全人大组织制度、选举制度和议事规则，完善论证、评估、评议、听证制度。</w:t>
      </w:r>
      <w:r>
        <w:rPr>
          <w:rFonts w:hint="eastAsia" w:cs="仿宋_GB2312"/>
          <w:color w:val="000000"/>
        </w:rPr>
      </w:r>
      <w:r>
        <w:rPr>
          <w:rFonts w:hint="eastAsia" w:cs="仿宋_GB2312"/>
          <w:color w:val="000000"/>
        </w:rPr>
      </w:r>
    </w:p>
    <w:p>
      <w:pPr>
        <w:pStyle w:val="737"/>
        <w:pBdr/>
        <w:spacing/>
        <w:ind w:firstLine="643"/>
        <w:rPr>
          <w:rFonts w:hint="eastAsia"/>
          <w:color w:val="000000"/>
        </w:rPr>
      </w:pPr>
      <w:r>
        <w:rPr>
          <w:rStyle w:val="778"/>
          <w:rFonts w:hint="eastAsia" w:ascii="楷体_GB2312" w:hAnsi="楷体_GB2312" w:eastAsia="楷体_GB2312" w:cs="楷体_GB2312"/>
          <w:b/>
          <w:bCs/>
          <w:color w:val="000000"/>
          <w:u w:val="none"/>
        </w:rPr>
        <w:t xml:space="preserve">充分发挥政治协商作用。</w:t>
      </w:r>
      <w:r>
        <w:rPr>
          <w:rFonts w:hint="eastAsia" w:cs="仿宋_GB2312"/>
          <w:color w:val="000000"/>
        </w:rPr>
        <w:t xml:space="preserve">完善支持民主党派和无党派人士履行职能方法，健全民主党派市委向中共随州市委提出建议制度，规范协商内容，丰富协商形式，完善协商规则，提高协商能力，健全发扬民主和增进团结相互贯通、建立资政和凝聚共识双向发力的程序机制。发挥政协制度优势和人才智力优势，提高政治协商、民主监督、参政议政水平，更好凝聚共识。</w:t>
      </w:r>
      <w:r>
        <w:rPr>
          <w:rFonts w:hint="eastAsia"/>
          <w:color w:val="000000"/>
        </w:rPr>
      </w:r>
      <w:r>
        <w:rPr>
          <w:rFonts w:hint="eastAsia"/>
          <w:color w:val="000000"/>
        </w:rPr>
      </w:r>
    </w:p>
    <w:p>
      <w:pPr>
        <w:pStyle w:val="737"/>
        <w:pBdr/>
        <w:spacing/>
        <w:ind w:firstLine="643"/>
        <w:rPr>
          <w:color w:val="000000"/>
        </w:rPr>
      </w:pPr>
      <w:r>
        <w:rPr>
          <w:rStyle w:val="778"/>
          <w:rFonts w:hint="eastAsia" w:ascii="楷体_GB2312" w:hAnsi="楷体_GB2312" w:eastAsia="楷体_GB2312" w:cs="楷体_GB2312"/>
          <w:b/>
          <w:bCs/>
          <w:color w:val="000000"/>
          <w:u w:val="none"/>
        </w:rPr>
        <w:t xml:space="preserve">全面建设法治政府</w:t>
      </w:r>
      <w:r>
        <w:rPr>
          <w:rStyle w:val="778"/>
          <w:rFonts w:hint="eastAsia" w:cs="仿宋_GB2312"/>
          <w:b/>
          <w:bCs/>
          <w:color w:val="000000"/>
          <w:u w:val="none"/>
        </w:rPr>
        <w:t xml:space="preserve">。</w:t>
      </w:r>
      <w:r>
        <w:rPr>
          <w:rFonts w:hint="eastAsia"/>
          <w:color w:val="000000"/>
        </w:rPr>
        <w:t xml:space="preserve">坚持中共随州市委对全面依法治市的领导，规范行政决策程序。加快转变政府职能</w:t>
      </w:r>
      <w:r>
        <w:rPr>
          <w:rFonts w:hint="eastAsia"/>
          <w:color w:val="000000"/>
          <w:lang w:eastAsia="zh-CN"/>
        </w:rPr>
        <w:t xml:space="preserve">，</w:t>
      </w:r>
      <w:r>
        <w:rPr>
          <w:rFonts w:hint="eastAsia"/>
          <w:color w:val="000000"/>
        </w:rPr>
        <w:t xml:space="preserve">基本建成职能科学、权责法</w:t>
      </w:r>
      <w:r>
        <w:rPr>
          <w:rFonts w:hint="eastAsia" w:cs="仿宋_GB2312"/>
          <w:color w:val="000000"/>
        </w:rPr>
        <w:t xml:space="preserve">定、执法严明、公开公正、廉洁高效、守法诚信的法治政府，依法全面履行政府职能。改进政府立法制度，</w:t>
      </w:r>
      <w:r>
        <w:rPr>
          <w:rStyle w:val="778"/>
          <w:rFonts w:hint="eastAsia" w:cs="仿宋_GB2312"/>
          <w:color w:val="000000"/>
          <w:u w:val="none"/>
        </w:rPr>
        <w:t xml:space="preserve">完善政府规章、规范性文件制定程序和公众参与政府立法机制。完善政府综合发布制度和监督保障机制，深入推进行政权力网上公开透明运行。加强和改进行政执法，依法设定权力、行使权力、制约权力、监督权力，依法调控和治理经济，推进执法重心和执法力量向县（市、区）政府下移，推行跨部门联动执法、跨地区协同执法、跨领域综合执法，实现政府活动全面纳入法治轨道，落实行政执法</w:t>
      </w:r>
      <w:r>
        <w:rPr>
          <w:rStyle w:val="778"/>
          <w:color w:val="000000"/>
          <w:u w:val="none"/>
        </w:rPr>
        <w:t xml:space="preserve">“</w:t>
      </w:r>
      <w:r>
        <w:rPr>
          <w:rStyle w:val="778"/>
          <w:rFonts w:hint="eastAsia" w:cs="仿宋_GB2312"/>
          <w:color w:val="000000"/>
          <w:u w:val="none"/>
        </w:rPr>
        <w:t xml:space="preserve">三项制度</w:t>
      </w:r>
      <w:r>
        <w:rPr>
          <w:rStyle w:val="778"/>
          <w:color w:val="000000"/>
          <w:u w:val="none"/>
        </w:rPr>
        <w:t xml:space="preserve">”</w:t>
      </w:r>
      <w:r>
        <w:rPr>
          <w:rStyle w:val="778"/>
          <w:rFonts w:hint="eastAsia" w:cs="仿宋_GB2312"/>
          <w:color w:val="000000"/>
          <w:u w:val="none"/>
        </w:rPr>
        <w:t xml:space="preserve">。推动行政执法与刑事司法无缝对接。</w:t>
      </w:r>
      <w:r>
        <w:rPr>
          <w:rFonts w:hint="eastAsia" w:cs="仿宋_GB2312"/>
          <w:color w:val="000000"/>
        </w:rPr>
        <w:t xml:space="preserve">深化行政执法体制改革，完善行政执法监督体制，全面落实行政执法责任制。健全权力运行制约和监督体系，全面推进政务公开，完善惩治和预防腐败体系。</w:t>
      </w:r>
      <w:r>
        <w:rPr>
          <w:color w:val="000000"/>
        </w:rPr>
      </w:r>
      <w:r>
        <w:rPr>
          <w:color w:val="000000"/>
        </w:rPr>
      </w:r>
    </w:p>
    <w:p>
      <w:pPr>
        <w:pStyle w:val="737"/>
        <w:pBdr/>
        <w:spacing/>
        <w:ind w:firstLine="643"/>
        <w:rPr>
          <w:color w:val="000000"/>
        </w:rPr>
      </w:pPr>
      <w:r>
        <w:rPr>
          <w:rStyle w:val="778"/>
          <w:rFonts w:hint="eastAsia" w:ascii="楷体_GB2312" w:hAnsi="楷体_GB2312" w:eastAsia="楷体_GB2312" w:cs="楷体_GB2312"/>
          <w:b/>
          <w:bCs/>
          <w:color w:val="000000"/>
          <w:u w:val="none"/>
        </w:rPr>
        <w:t xml:space="preserve">全面建设法治社会</w:t>
      </w:r>
      <w:r>
        <w:rPr>
          <w:rStyle w:val="778"/>
          <w:rFonts w:hint="eastAsia" w:cs="仿宋_GB2312"/>
          <w:b/>
          <w:bCs/>
          <w:color w:val="000000"/>
          <w:u w:val="none"/>
        </w:rPr>
        <w:t xml:space="preserve">。</w:t>
      </w:r>
      <w:r>
        <w:rPr>
          <w:rFonts w:hint="eastAsia" w:cs="仿宋_GB2312"/>
          <w:color w:val="000000"/>
        </w:rPr>
        <w:t xml:space="preserve">把法治教育纳入精神文明创建内容和国民教育体系，在全社会普遍开展宪法教育，加强法治文化阵地建设，大力弘扬法治精神，增强全社会特别是公职人员尊法学法守法用法观念，在全社会形成良好法治氛围和法治习惯。大力发展法律服务业，完善法律援助制度，健全司法救助机制，着力构建满足法律需求、覆盖城乡居民的公共法律服务体系。推进多层次多领域依法治理，广泛开展法治创建活动，支持各类社会主体依法自我约束、自我管理。</w:t>
      </w:r>
      <w:r>
        <w:rPr>
          <w:color w:val="000000"/>
        </w:rPr>
      </w:r>
      <w:r>
        <w:rPr>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rPr>
          <w:rFonts w:hint="eastAsia" w:ascii="黑体" w:hAnsi="黑体" w:eastAsia="黑体" w:cs="黑体"/>
          <w:b w:val="0"/>
          <w:bCs w:val="0"/>
          <w:color w:val="000000"/>
        </w:rPr>
        <w:t xml:space="preserve">二、切实保障公共安全</w:t>
      </w:r>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3"/>
        <w:rPr>
          <w:rFonts w:hint="eastAsia" w:cs="仿宋_GB2312"/>
          <w:color w:val="000000"/>
        </w:rPr>
      </w:pPr>
      <w:r>
        <w:rPr>
          <w:rStyle w:val="778"/>
          <w:rFonts w:hint="eastAsia" w:ascii="楷体_GB2312" w:hAnsi="楷体_GB2312" w:eastAsia="楷体_GB2312" w:cs="楷体_GB2312"/>
          <w:b/>
          <w:bCs/>
          <w:color w:val="000000"/>
          <w:u w:val="none"/>
        </w:rPr>
        <w:t xml:space="preserve">提升安全生产管理水平</w:t>
      </w:r>
      <w:r>
        <w:rPr>
          <w:rFonts w:hint="eastAsia" w:cs="仿宋_GB2312"/>
          <w:b/>
          <w:bCs/>
          <w:color w:val="000000"/>
        </w:rPr>
        <w:t xml:space="preserve">。</w:t>
      </w:r>
      <w:r>
        <w:rPr>
          <w:rFonts w:hint="eastAsia" w:cs="仿宋_GB2312"/>
          <w:color w:val="000000"/>
        </w:rPr>
        <w:t xml:space="preserve">建立健全安全生产责任体系，落实属地管理、行业监管、分级监管。强化安全生产监督执法，严格落实执法公示、执法全过程记录、重大执法决定法制审核制度。加强生产安全风险管控和隐患排查治理体系建设，深入开展各领域各环节生产安全风险隐患排查工作，扎实推进重点领域安全整治，进一步提升本质安全水平，减少一般事故，遏制较大及以上事故。</w:t>
      </w:r>
      <w:r>
        <w:rPr>
          <w:rFonts w:hint="eastAsia" w:cs="仿宋_GB2312"/>
          <w:color w:val="000000"/>
        </w:rPr>
      </w:r>
      <w:r>
        <w:rPr>
          <w:rFonts w:hint="eastAsia" w:cs="仿宋_GB2312"/>
          <w:color w:val="000000"/>
        </w:rPr>
      </w:r>
    </w:p>
    <w:p>
      <w:pPr>
        <w:pStyle w:val="737"/>
        <w:pBdr/>
        <w:spacing/>
        <w:ind w:firstLine="643"/>
        <w:rPr>
          <w:color w:val="000000"/>
          <w:lang w:val="en-US"/>
        </w:rPr>
      </w:pPr>
      <w:r>
        <w:rPr>
          <w:rStyle w:val="778"/>
          <w:rFonts w:hint="eastAsia" w:ascii="楷体_GB2312" w:hAnsi="楷体_GB2312" w:eastAsia="楷体_GB2312" w:cs="楷体_GB2312"/>
          <w:b/>
          <w:bCs/>
          <w:color w:val="000000"/>
          <w:u w:val="none"/>
        </w:rPr>
        <w:t xml:space="preserve">增强综合防灾减灾救灾能力。</w:t>
      </w:r>
      <w:r>
        <w:rPr>
          <w:rFonts w:hint="eastAsia" w:cs="仿宋_GB2312"/>
          <w:color w:val="000000"/>
        </w:rPr>
        <w:t xml:space="preserve">建立健全重大自然调查评估制度，组织开展全市自然灾害综合风险调查、重点隐患排查，建立分类型分区域的全市自然风险基础数据库，分类编制自然灾害综合风险图和自然灾害综合防治区划图。完善地质灾害、洪涝灾害、气象灾害、火灾等灾害灾难的预警机制</w:t>
      </w:r>
      <w:r>
        <w:rPr>
          <w:rFonts w:hint="eastAsia" w:cs="仿宋_GB2312"/>
          <w:color w:val="000000"/>
          <w:lang w:eastAsia="zh-CN"/>
        </w:rPr>
        <w:t xml:space="preserve">及</w:t>
      </w:r>
      <w:r>
        <w:rPr>
          <w:rFonts w:hint="eastAsia" w:cs="仿宋_GB2312"/>
          <w:color w:val="000000"/>
        </w:rPr>
        <w:t xml:space="preserve">评估和论证机制，根据灾害特点、人口分布和城乡布局，统筹建设一批城市防护工程和防震防空应急避难场所，提高城市防灾减灾救灾能力。加强生活类救灾物资、水利防汛抗旱物资、地质灾害防治应急物资、森林防灭火物资等应急物资储备。</w:t>
      </w:r>
      <w:r>
        <w:rPr>
          <w:color w:val="000000"/>
          <w:lang w:val="en-US"/>
        </w:rPr>
      </w:r>
      <w:r>
        <w:rPr>
          <w:color w:val="000000"/>
          <w:lang w:val="en-US"/>
        </w:rPr>
      </w:r>
    </w:p>
    <w:p>
      <w:pPr>
        <w:pStyle w:val="737"/>
        <w:pBdr/>
        <w:spacing/>
        <w:ind w:firstLine="643"/>
        <w:rPr>
          <w:color w:val="000000"/>
        </w:rPr>
      </w:pPr>
      <w:r>
        <w:rPr>
          <w:rStyle w:val="778"/>
          <w:rFonts w:hint="eastAsia" w:ascii="楷体_GB2312" w:hAnsi="楷体_GB2312" w:eastAsia="楷体_GB2312" w:cs="楷体_GB2312"/>
          <w:b/>
          <w:bCs/>
          <w:color w:val="000000"/>
          <w:u w:val="none"/>
        </w:rPr>
        <w:t xml:space="preserve">强化应急保障水平</w:t>
      </w:r>
      <w:r>
        <w:rPr>
          <w:rFonts w:hint="eastAsia" w:cs="仿宋_GB2312"/>
          <w:b/>
          <w:bCs/>
          <w:color w:val="000000"/>
        </w:rPr>
        <w:t xml:space="preserve">。</w:t>
      </w:r>
      <w:r>
        <w:rPr>
          <w:rFonts w:hint="eastAsia" w:cs="仿宋_GB2312"/>
          <w:color w:val="000000"/>
        </w:rPr>
        <w:t xml:space="preserve">坚持预防为主、精准治理、依法管理、社会共治，加强应急能力建设，构建统一领导、权责一致、权威高效的应急能力体系，推动形成统一指挥、专常兼备、反应灵敏、上下联运、平战结合的应急管理体制。加强应急指挥信息化与通信保障能力建设，构建以信息技术设备为基础的信息化应急指挥运行体系。完善疫情防控机制和公共卫生应急体系，提升突发公共卫生事件应对能力。加强反恐、消防、防洪、防震等设施能力和专业应急队伍建设。建立军地联动应急处置工作机制，衔接驻军部队参与抢险救灾工作。</w:t>
      </w:r>
      <w:r>
        <w:rPr>
          <w:color w:val="000000"/>
        </w:rPr>
      </w:r>
      <w:r>
        <w:rPr>
          <w:color w:val="000000"/>
        </w:rPr>
      </w:r>
    </w:p>
    <w:p>
      <w:pPr>
        <w:pStyle w:val="737"/>
        <w:pBdr/>
        <w:spacing/>
        <w:ind w:firstLine="643"/>
        <w:rPr>
          <w:color w:val="000000"/>
        </w:rPr>
      </w:pPr>
      <w:r>
        <w:rPr>
          <w:rStyle w:val="778"/>
          <w:rFonts w:hint="eastAsia" w:ascii="楷体_GB2312" w:hAnsi="楷体_GB2312" w:eastAsia="楷体_GB2312" w:cs="楷体_GB2312"/>
          <w:b/>
          <w:bCs/>
          <w:color w:val="000000"/>
          <w:u w:val="none"/>
        </w:rPr>
        <w:t xml:space="preserve">加强食品药品安全监管</w:t>
      </w:r>
      <w:r>
        <w:rPr>
          <w:rFonts w:hint="eastAsia" w:cs="仿宋_GB2312"/>
          <w:b/>
          <w:bCs/>
          <w:color w:val="000000"/>
        </w:rPr>
        <w:t xml:space="preserve">。</w:t>
      </w:r>
      <w:r>
        <w:rPr>
          <w:rFonts w:hint="eastAsia" w:cs="仿宋_GB2312"/>
          <w:color w:val="000000"/>
        </w:rPr>
        <w:t xml:space="preserve">加快构建食品药品安全质量源头可溯、全程可控、风险可防、责任可究、公众可查的全过程安全监管机制。深化风险防控体系建设，完善突发事件应急预案，杜绝重特大食品药品安全事故。健全严密高效、社会共治的食品安全治理体系，创建国家食品安全示范城市。</w:t>
      </w:r>
      <w:r>
        <w:rPr>
          <w:color w:val="000000"/>
        </w:rPr>
      </w:r>
      <w:r>
        <w:rPr>
          <w:color w:val="000000"/>
        </w:rPr>
      </w:r>
    </w:p>
    <w:p>
      <w:pPr>
        <w:pStyle w:val="737"/>
        <w:pBdr/>
        <w:spacing/>
        <w:ind w:firstLine="643"/>
        <w:rPr>
          <w:rFonts w:hint="eastAsia" w:cs="仿宋_GB2312"/>
          <w:color w:val="000000"/>
        </w:rPr>
      </w:pPr>
      <w:r>
        <w:rPr>
          <w:rStyle w:val="778"/>
          <w:rFonts w:hint="eastAsia" w:ascii="楷体_GB2312" w:hAnsi="楷体_GB2312" w:eastAsia="楷体_GB2312" w:cs="楷体_GB2312"/>
          <w:b/>
          <w:bCs/>
          <w:color w:val="000000"/>
          <w:u w:val="none"/>
        </w:rPr>
        <w:t xml:space="preserve">提高生物安全治理能力</w:t>
      </w:r>
      <w:r>
        <w:rPr>
          <w:rFonts w:hint="eastAsia" w:cs="仿宋_GB2312"/>
          <w:b/>
          <w:bCs/>
          <w:color w:val="000000"/>
        </w:rPr>
        <w:t xml:space="preserve">。</w:t>
      </w:r>
      <w:r>
        <w:rPr>
          <w:rFonts w:hint="eastAsia" w:cs="仿宋_GB2312"/>
          <w:color w:val="000000"/>
        </w:rPr>
        <w:t xml:space="preserve">贯彻实施《中华人民共和国生物安全法》，聚焦生物安全领域主要风险，完善生物安全风险防控体制机制，着力提高生物安全治理能力。加大重大新发突发传染病、动植物疫情防控力度，加快研究、开发、应用生物技术，保障实验室生物安全，保障生物资源和人类遗传资源安全，防范外来物种入侵与保护生物多样性，谨慎应对微生物耐药，防范生物恐怖袭击，防御生物武器威胁。加强联合防控能力建设，依法处置危害生物安全的违法行为，完善重大生物安全事件应对制度。定期组织开展生物安全风险调查评估，参与建立生物技术环境安全监测网络。</w:t>
      </w:r>
      <w:r>
        <w:rPr>
          <w:rFonts w:hint="eastAsia" w:cs="仿宋_GB2312"/>
          <w:color w:val="000000"/>
        </w:rPr>
      </w:r>
      <w:r>
        <w:rPr>
          <w:rFonts w:hint="eastAsia" w:cs="仿宋_GB2312"/>
          <w:color w:val="000000"/>
        </w:rPr>
      </w:r>
    </w:p>
    <w:p>
      <w:pPr>
        <w:pStyle w:val="745"/>
        <w:pBdr/>
        <w:spacing/>
        <w:ind w:firstLine="640" w:left="640"/>
        <w:rPr>
          <w:rFonts w:hint="eastAsia"/>
        </w:rPr>
      </w:pPr>
      <w:r>
        <w:rPr>
          <w:rFonts w:hint="eastAsia"/>
        </w:rPr>
      </w:r>
      <w:r>
        <w:rPr>
          <w:rFonts w:hint="eastAsia"/>
        </w:rPr>
      </w:r>
    </w:p>
    <w:p>
      <w:pPr>
        <w:pStyle w:val="739"/>
        <w:pBdr/>
        <w:spacing/>
        <w:ind w:firstLine="720"/>
        <w:rPr>
          <w:rFonts w:hint="eastAsia" w:ascii="黑体" w:hAnsi="黑体" w:eastAsia="黑体" w:cs="黑体"/>
          <w:b w:val="0"/>
          <w:bCs w:val="0"/>
          <w:color w:val="000000"/>
        </w:rPr>
      </w:pPr>
      <w:r>
        <w:rPr>
          <w:rFonts w:hint="eastAsia" w:ascii="黑体" w:hAnsi="黑体" w:eastAsia="黑体" w:cs="黑体"/>
          <w:b w:val="0"/>
          <w:bCs w:val="0"/>
          <w:color w:val="000000"/>
        </w:rPr>
        <w:t xml:space="preserve">三、构建社会治理新格局</w:t>
      </w:r>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3"/>
        <w:rPr>
          <w:color w:val="000000"/>
        </w:rPr>
      </w:pPr>
      <w:r>
        <w:rPr>
          <w:rStyle w:val="778"/>
          <w:rFonts w:hint="eastAsia" w:ascii="楷体_GB2312" w:hAnsi="楷体_GB2312" w:eastAsia="楷体_GB2312" w:cs="楷体_GB2312"/>
          <w:b/>
          <w:bCs/>
          <w:color w:val="000000"/>
          <w:u w:val="none"/>
        </w:rPr>
        <w:t xml:space="preserve">完善社会治理方式</w:t>
      </w:r>
      <w:r>
        <w:rPr>
          <w:rFonts w:hint="eastAsia" w:cs="仿宋_GB2312"/>
          <w:b/>
          <w:bCs/>
          <w:color w:val="000000"/>
        </w:rPr>
        <w:t xml:space="preserve">。</w:t>
      </w:r>
      <w:r>
        <w:rPr>
          <w:rFonts w:hint="eastAsia" w:cs="仿宋_GB2312"/>
          <w:color w:val="000000"/>
        </w:rPr>
        <w:t xml:space="preserve">坚持系统治理、依法治理、综合治理、源头治理，加强党委领导，发挥政府主导作用，鼓励和支持社会各方面参与，实现政府治理和社会自我调节、居民自治良性互动。运用法治思维和法治方式规范社会行为、调节利益关系、协调社会关系、解决社会问题、化解社会矛盾，推进多层次多领域依法治理。优化城乡治理单元，合理设置村、居民小组，调整村、居民小组的管辖范围，把村、居民小组和网格建设成为基层群众自治、网格服务管理相衔接相统一的基本单元。继续完善村（居）民委员会、网格管理站</w:t>
      </w:r>
      <w:r>
        <w:rPr>
          <w:color w:val="000000"/>
        </w:rPr>
        <w:t xml:space="preserve">“</w:t>
      </w:r>
      <w:r>
        <w:rPr>
          <w:rFonts w:hint="eastAsia" w:cs="仿宋_GB2312"/>
          <w:color w:val="000000"/>
        </w:rPr>
        <w:t xml:space="preserve">三位一体</w:t>
      </w:r>
      <w:r>
        <w:rPr>
          <w:color w:val="000000"/>
        </w:rPr>
        <w:t xml:space="preserve">”</w:t>
      </w:r>
      <w:r>
        <w:rPr>
          <w:rFonts w:hint="eastAsia" w:cs="仿宋_GB2312"/>
          <w:color w:val="000000"/>
        </w:rPr>
        <w:t xml:space="preserve">的工作格局，以村、社区为平台，建立</w:t>
      </w:r>
      <w:r>
        <w:rPr>
          <w:color w:val="000000"/>
        </w:rPr>
        <w:t xml:space="preserve">“</w:t>
      </w:r>
      <w:r>
        <w:rPr>
          <w:rFonts w:hint="eastAsia" w:cs="仿宋_GB2312"/>
          <w:color w:val="000000"/>
        </w:rPr>
        <w:t xml:space="preserve">以块为主、条块结合</w:t>
      </w:r>
      <w:r>
        <w:rPr>
          <w:color w:val="000000"/>
        </w:rPr>
        <w:t xml:space="preserve">”</w:t>
      </w:r>
      <w:r>
        <w:rPr>
          <w:rFonts w:hint="eastAsia" w:cs="仿宋_GB2312"/>
          <w:color w:val="000000"/>
        </w:rPr>
        <w:t xml:space="preserve">的工作体制，完善社区服务设施，优化社区服务内容，壮大社区服务队伍，健全社区服务体制机制，提升社区服务信息化水平。整合现有资源，形成为群众提供</w:t>
      </w:r>
      <w:r>
        <w:rPr>
          <w:color w:val="000000"/>
        </w:rPr>
        <w:t xml:space="preserve">“</w:t>
      </w:r>
      <w:r>
        <w:rPr>
          <w:rFonts w:hint="eastAsia" w:cs="仿宋_GB2312"/>
          <w:color w:val="000000"/>
        </w:rPr>
        <w:t xml:space="preserve">一门式</w:t>
      </w:r>
      <w:r>
        <w:rPr>
          <w:color w:val="000000"/>
        </w:rPr>
        <w:t xml:space="preserve">”“</w:t>
      </w:r>
      <w:r>
        <w:rPr>
          <w:rFonts w:hint="eastAsia" w:cs="仿宋_GB2312"/>
          <w:color w:val="000000"/>
        </w:rPr>
        <w:t xml:space="preserve">一站式</w:t>
      </w:r>
      <w:r>
        <w:rPr>
          <w:color w:val="000000"/>
        </w:rPr>
        <w:t xml:space="preserve">”</w:t>
      </w:r>
      <w:r>
        <w:rPr>
          <w:rFonts w:hint="eastAsia" w:cs="仿宋_GB2312"/>
          <w:color w:val="000000"/>
        </w:rPr>
        <w:t xml:space="preserve">服务的格局。因地制宜引导社区社会组织开展自助互助服务，形成政府管理和村</w:t>
      </w:r>
      <w:r>
        <w:rPr>
          <w:rFonts w:hint="eastAsia" w:cs="仿宋_GB2312"/>
          <w:color w:val="000000"/>
          <w:lang w:eastAsia="zh-CN"/>
        </w:rPr>
        <w:t xml:space="preserve">（</w:t>
      </w:r>
      <w:r>
        <w:rPr>
          <w:rFonts w:hint="eastAsia" w:cs="仿宋_GB2312"/>
          <w:color w:val="000000"/>
        </w:rPr>
        <w:t xml:space="preserve">居</w:t>
      </w:r>
      <w:r>
        <w:rPr>
          <w:rFonts w:hint="eastAsia" w:cs="仿宋_GB2312"/>
          <w:color w:val="000000"/>
          <w:lang w:eastAsia="zh-CN"/>
        </w:rPr>
        <w:t xml:space="preserve">）</w:t>
      </w:r>
      <w:r>
        <w:rPr>
          <w:rFonts w:hint="eastAsia" w:cs="仿宋_GB2312"/>
          <w:color w:val="000000"/>
        </w:rPr>
        <w:t xml:space="preserve">民自治有机衔接、良性互动局面。充分发挥村、社区老党员、老教师、老干部和社区社会组织负责人等骨干的引领作用，带动村</w:t>
      </w:r>
      <w:r>
        <w:rPr>
          <w:rFonts w:hint="eastAsia" w:cs="仿宋_GB2312"/>
          <w:color w:val="000000"/>
          <w:lang w:eastAsia="zh-CN"/>
        </w:rPr>
        <w:t xml:space="preserve">（</w:t>
      </w:r>
      <w:r>
        <w:rPr>
          <w:rFonts w:hint="eastAsia" w:cs="仿宋_GB2312"/>
          <w:color w:val="000000"/>
        </w:rPr>
        <w:t xml:space="preserve">居</w:t>
      </w:r>
      <w:r>
        <w:rPr>
          <w:rFonts w:hint="eastAsia" w:cs="仿宋_GB2312"/>
          <w:color w:val="000000"/>
          <w:lang w:eastAsia="zh-CN"/>
        </w:rPr>
        <w:t xml:space="preserve">）</w:t>
      </w:r>
      <w:r>
        <w:rPr>
          <w:rFonts w:hint="eastAsia" w:cs="仿宋_GB2312"/>
          <w:color w:val="000000"/>
        </w:rPr>
        <w:t xml:space="preserve">民广泛参与村、社区公共事务和公益事业。完善群众参与激励机制，调动群众参与城乡社区治理的积极性。充分动员村、社区内机关、团体、部队、企事业单位广泛参与城乡社区治理，实现城乡社区内外各类资源的全面整合和综合利用，提高各类资源的共享程度和利用效率。改革和完善社会组织管理制度，健全社会组织法人治理结构和运行机制，增强服务功能，发挥社会组织在社会治理中的作用。</w:t>
      </w:r>
      <w:r>
        <w:rPr>
          <w:color w:val="000000"/>
        </w:rPr>
      </w:r>
      <w:r>
        <w:rPr>
          <w:color w:val="000000"/>
        </w:rPr>
      </w:r>
    </w:p>
    <w:p>
      <w:pPr>
        <w:pStyle w:val="737"/>
        <w:pBdr/>
        <w:spacing/>
        <w:ind w:firstLine="643"/>
        <w:rPr>
          <w:color w:val="000000"/>
        </w:rPr>
      </w:pPr>
      <w:r>
        <w:rPr>
          <w:rStyle w:val="778"/>
          <w:rFonts w:hint="eastAsia" w:ascii="楷体_GB2312" w:hAnsi="楷体_GB2312" w:eastAsia="楷体_GB2312" w:cs="楷体_GB2312"/>
          <w:b/>
          <w:bCs/>
          <w:color w:val="000000"/>
          <w:u w:val="none"/>
          <w:lang w:val="en-US"/>
        </w:rPr>
        <w:t xml:space="preserve">以数字化赋能乡村治理现代化</w:t>
      </w:r>
      <w:r>
        <w:rPr>
          <w:rFonts w:hint="eastAsia" w:cs="仿宋_GB2312"/>
          <w:b/>
          <w:bCs/>
          <w:color w:val="000000"/>
          <w:lang w:val="en-US"/>
        </w:rPr>
        <w:t xml:space="preserve">。</w:t>
      </w:r>
      <w:r>
        <w:rPr>
          <w:rFonts w:hint="eastAsia" w:cs="仿宋_GB2312"/>
          <w:color w:val="000000"/>
          <w:lang w:val="en-US"/>
        </w:rPr>
        <w:t xml:space="preserve">完善乡村信息基础设施建设，打造乡村三维空间模型，归集乡村各领域运行态势、异常情况等数据，为乡村治理提供辅助决策分析。建立高效便捷的村情民意线上互动沟通反馈渠道，提供各类智慧民生服务。构建县域（乡村）数字治理中心，整合各镇（街道）、相关职能单位力量，分层分级、统筹调度、协同解决乡村治理各领域事务，打通村民端、基层治理端、后台决策端通道，形成全域数据闭环治理体系。</w:t>
      </w:r>
      <w:r>
        <w:rPr>
          <w:color w:val="000000"/>
        </w:rPr>
      </w:r>
      <w:r>
        <w:rPr>
          <w:color w:val="000000"/>
        </w:rPr>
      </w:r>
    </w:p>
    <w:p>
      <w:pPr>
        <w:pStyle w:val="737"/>
        <w:pBdr/>
        <w:spacing/>
        <w:ind w:firstLine="643"/>
        <w:rPr>
          <w:rFonts w:hint="eastAsia" w:eastAsia="仿宋_GB2312"/>
          <w:color w:val="000000"/>
          <w:lang w:eastAsia="zh-CN"/>
        </w:rPr>
      </w:pPr>
      <w:r>
        <w:rPr>
          <w:rStyle w:val="778"/>
          <w:rFonts w:hint="eastAsia" w:ascii="楷体_GB2312" w:hAnsi="楷体_GB2312" w:eastAsia="楷体_GB2312" w:cs="楷体_GB2312"/>
          <w:b/>
          <w:bCs/>
          <w:color w:val="000000"/>
          <w:u w:val="none"/>
        </w:rPr>
        <w:t xml:space="preserve">预防和化解社会矛盾</w:t>
      </w:r>
      <w:r>
        <w:rPr>
          <w:rFonts w:hint="eastAsia" w:cs="仿宋_GB2312"/>
          <w:b/>
          <w:bCs/>
          <w:color w:val="000000"/>
        </w:rPr>
        <w:t xml:space="preserve">。</w:t>
      </w:r>
      <w:r>
        <w:rPr>
          <w:rFonts w:hint="eastAsia" w:cs="仿宋_GB2312"/>
          <w:color w:val="000000"/>
        </w:rPr>
        <w:t xml:space="preserve">建立畅通有序的诉求表达、心理干预、矛盾调处、权益保障机制。改革信访工作制度，把信访纳入法治化轨道，建立健全心理干预机制，开展心理咨询、疏导、调节等服务。完善矛盾纠纷多元化解机制，加强婚姻家庭纠纷化解工作，发挥家庭在构建和谐社会中的作用。健全重大决策社会稳定风险评估机制，维护群众合理合法的利益诉求，有效防范和化解土地征用、房屋拆迁、安全生产等引发的社会矛盾</w:t>
      </w:r>
      <w:r>
        <w:rPr>
          <w:rFonts w:hint="eastAsia" w:cs="仿宋_GB2312"/>
          <w:color w:val="000000"/>
          <w:lang w:eastAsia="zh-CN"/>
        </w:rPr>
        <w:t xml:space="preserve">。</w:t>
      </w:r>
      <w:r>
        <w:rPr>
          <w:rFonts w:hint="eastAsia" w:eastAsia="仿宋_GB2312"/>
          <w:color w:val="000000"/>
          <w:lang w:eastAsia="zh-CN"/>
        </w:rPr>
      </w:r>
      <w:r>
        <w:rPr>
          <w:rFonts w:hint="eastAsia" w:eastAsia="仿宋_GB2312"/>
          <w:color w:val="000000"/>
          <w:lang w:eastAsia="zh-CN"/>
        </w:rPr>
      </w:r>
    </w:p>
    <w:p>
      <w:pPr>
        <w:pStyle w:val="737"/>
        <w:pBdr/>
        <w:spacing/>
        <w:ind w:firstLine="643"/>
        <w:rPr>
          <w:rFonts w:hint="eastAsia" w:cs="仿宋_GB2312"/>
          <w:color w:val="000000"/>
        </w:rPr>
      </w:pPr>
      <w:r>
        <w:rPr>
          <w:rStyle w:val="778"/>
          <w:rFonts w:hint="eastAsia" w:ascii="楷体_GB2312" w:hAnsi="楷体_GB2312" w:eastAsia="楷体_GB2312" w:cs="楷体_GB2312"/>
          <w:b/>
          <w:bCs/>
          <w:color w:val="000000"/>
          <w:u w:val="none"/>
        </w:rPr>
        <w:t xml:space="preserve">防范化解重大经济风险</w:t>
      </w:r>
      <w:r>
        <w:rPr>
          <w:rFonts w:hint="eastAsia" w:cs="仿宋_GB2312"/>
          <w:color w:val="000000"/>
        </w:rPr>
        <w:t xml:space="preserve">。建立健全政府性债务风险防控机制，规范政府举债融资行为，严格控制新增债务，积极消化存量债务，依法处置隐性债务，坚决纠正违规违法、变相举债等行为。健全金融风险预防、预警、处置、问责制度体系，实施防范化解金融风险全链条管理，严密防范流动性风险，有效防范化解信用风险，着力防控影子银行业务风险，守住不发生系统性、区域性金融风险的底线。加强房地产市场风险监测预警和排查，维护市场稳定。</w:t>
      </w:r>
      <w:r>
        <w:rPr>
          <w:rFonts w:hint="eastAsia" w:cs="仿宋_GB2312"/>
          <w:color w:val="000000"/>
        </w:rPr>
      </w:r>
      <w:r>
        <w:rPr>
          <w:rFonts w:hint="eastAsia" w:cs="仿宋_GB2312"/>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rPr>
          <w:rFonts w:hint="eastAsia" w:ascii="黑体" w:hAnsi="黑体" w:eastAsia="黑体" w:cs="黑体"/>
          <w:b w:val="0"/>
          <w:bCs w:val="0"/>
          <w:color w:val="000000"/>
        </w:rPr>
        <w:t xml:space="preserve">四、加强国防动员和后备力量建设</w:t>
      </w:r>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color w:val="000000"/>
        </w:rPr>
      </w:pPr>
      <w:r>
        <w:rPr>
          <w:rFonts w:hint="eastAsia" w:cs="仿宋_GB2312"/>
          <w:color w:val="000000"/>
        </w:rPr>
        <w:t xml:space="preserve">完善国防动员体系，优化国防动员体制机制，加强国防后备力量和国防动员专业队伍建设，统筹国防动员和政府应急管理建设，提升平时服务、急时应急、战时应战能力。拓展新型动员领域，扎实推进人民防空、物资储备、战略投送、信息通信等重点领域动员准备。在与国防密切相关的建设项目和重要产品中贯彻落实国防需求，助推军队保障社会化。用心用情用力做好退役军人服务保障工作，在政治上关心、生活上关照、工作上支持退役军人。加强党管武装建设，深化全民国防教育，深入开展拥军优属、拥政爱民活动，密切军政军民团结。</w:t>
      </w:r>
      <w:r>
        <w:rPr>
          <w:color w:val="000000"/>
        </w:rPr>
      </w:r>
      <w:r>
        <w:rPr>
          <w:color w:val="000000"/>
        </w:rPr>
      </w:r>
    </w:p>
    <w:p>
      <w:pPr>
        <w:pStyle w:val="737"/>
        <w:pBdr/>
        <w:spacing/>
        <w:ind w:firstLine="640"/>
        <w:rPr>
          <w:color w:val="000000"/>
        </w:rPr>
      </w:pPr>
      <w:r>
        <w:rPr>
          <w:color w:val="000000"/>
        </w:rPr>
        <w:br w:type="page" w:clear="all"/>
      </w:r>
      <w:r>
        <w:rPr>
          <w:color w:val="000000"/>
        </w:rPr>
      </w:r>
      <w:r>
        <w:rPr>
          <w:color w:val="000000"/>
        </w:rPr>
      </w:r>
    </w:p>
    <w:p>
      <w:pPr>
        <w:pStyle w:val="737"/>
        <w:pBdr/>
        <w:spacing/>
        <w:ind w:firstLine="0"/>
        <w:rPr>
          <w:color w:val="000000"/>
        </w:rPr>
      </w:pPr>
      <w:r>
        <w:rPr>
          <w:color w:val="000000"/>
        </w:rPr>
      </w:r>
      <w:r>
        <w:rPr>
          <w:color w:val="000000"/>
        </w:rPr>
      </w:r>
    </w:p>
    <w:p>
      <w:pPr>
        <w:pStyle w:val="738"/>
        <w:pBdr/>
        <w:spacing/>
        <w:ind/>
        <w:rPr>
          <w:rFonts w:ascii="方正小标宋简体" w:eastAsia="方正小标宋简体" w:cs="方正小标宋简体"/>
          <w:b w:val="0"/>
          <w:bCs w:val="0"/>
          <w:color w:val="000000"/>
          <w:sz w:val="36"/>
          <w:szCs w:val="36"/>
        </w:rPr>
      </w:pPr>
      <w:r>
        <w:rPr>
          <w:rFonts w:hint="eastAsia" w:ascii="方正小标宋简体" w:eastAsia="方正小标宋简体" w:cs="方正小标宋简体"/>
          <w:b w:val="0"/>
          <w:bCs w:val="0"/>
          <w:color w:val="000000"/>
          <w:sz w:val="36"/>
          <w:szCs w:val="36"/>
        </w:rPr>
        <w:t xml:space="preserve">第十六章</w:t>
      </w:r>
      <w:r>
        <w:rPr>
          <w:rFonts w:ascii="方正小标宋简体" w:eastAsia="方正小标宋简体" w:cs="方正小标宋简体"/>
          <w:b w:val="0"/>
          <w:bCs w:val="0"/>
          <w:color w:val="000000"/>
          <w:sz w:val="36"/>
          <w:szCs w:val="36"/>
        </w:rPr>
        <w:t xml:space="preserve"> </w:t>
      </w:r>
      <w:r>
        <w:rPr>
          <w:rFonts w:hint="eastAsia" w:ascii="方正小标宋简体" w:eastAsia="方正小标宋简体" w:cs="方正小标宋简体"/>
          <w:b w:val="0"/>
          <w:bCs w:val="0"/>
          <w:color w:val="000000"/>
          <w:sz w:val="36"/>
          <w:szCs w:val="36"/>
        </w:rPr>
        <w:t xml:space="preserve">强化保障措施</w:t>
      </w:r>
      <w:r>
        <w:rPr>
          <w:rFonts w:hint="eastAsia" w:ascii="方正小标宋简体" w:eastAsia="方正小标宋简体" w:cs="方正小标宋简体"/>
          <w:b w:val="0"/>
          <w:bCs w:val="0"/>
          <w:color w:val="000000"/>
          <w:sz w:val="36"/>
          <w:szCs w:val="36"/>
          <w:lang w:val="en-US"/>
        </w:rPr>
        <w:t xml:space="preserve"> </w:t>
      </w:r>
      <w:r>
        <w:rPr>
          <w:rFonts w:hint="eastAsia" w:ascii="方正小标宋简体" w:eastAsia="方正小标宋简体" w:cs="方正小标宋简体"/>
          <w:b w:val="0"/>
          <w:bCs w:val="0"/>
          <w:color w:val="000000"/>
          <w:sz w:val="36"/>
          <w:szCs w:val="36"/>
        </w:rPr>
        <w:t xml:space="preserve">推动规划有效实施</w:t>
      </w:r>
      <w:r>
        <w:rPr>
          <w:rFonts w:ascii="方正小标宋简体" w:eastAsia="方正小标宋简体" w:cs="方正小标宋简体"/>
          <w:b w:val="0"/>
          <w:bCs w:val="0"/>
          <w:color w:val="000000"/>
          <w:sz w:val="36"/>
          <w:szCs w:val="36"/>
        </w:rPr>
      </w:r>
      <w:r>
        <w:rPr>
          <w:rFonts w:ascii="方正小标宋简体" w:eastAsia="方正小标宋简体" w:cs="方正小标宋简体"/>
          <w:b w:val="0"/>
          <w:bCs w:val="0"/>
          <w:color w:val="000000"/>
          <w:sz w:val="36"/>
          <w:szCs w:val="36"/>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rPr>
          <w:rFonts w:hint="eastAsia" w:ascii="黑体" w:hAnsi="黑体" w:eastAsia="黑体" w:cs="黑体"/>
          <w:b w:val="0"/>
          <w:bCs w:val="0"/>
          <w:color w:val="000000"/>
        </w:rPr>
        <w:t xml:space="preserve">一、坚持和完善党对经济社会发展的领导</w:t>
      </w:r>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color w:val="000000"/>
        </w:rPr>
      </w:pPr>
      <w:r>
        <w:rPr>
          <w:rFonts w:hint="eastAsia" w:cs="仿宋_GB2312"/>
          <w:color w:val="000000"/>
        </w:rPr>
        <w:t xml:space="preserve">坚持和维护党总揽全局、协调各方的领导核心地位，强化党领导经济社会工作制度化建设，坚持在各级党委的领导下，统筹解决经济社会发展中的重大问题。健全贯彻落实党的决策部署的体制机制，坚持党委定期研究经济社会发展重大问题的机制，创新发展理念和工作方式方法，推动科学民主依法决策，加强形势研判和风险管控，健全和完善</w:t>
      </w:r>
      <w:r>
        <w:rPr>
          <w:rFonts w:hint="eastAsia" w:cs="仿宋_GB2312"/>
          <w:color w:val="000000"/>
        </w:rPr>
        <w:t xml:space="preserve">宏观调控。优化各级党委领导班子知识结构和专业结构，注重培养选拔政治强、懂专业、善治理、敢担当、作风正的干部，提升领导经济社会发展工作的专业化、法治化水平。创新基层党建工作，发挥基层党组织推动发展、服务群众、凝聚人心、促进和谐的作用。充分发挥党员领导干部的先锋模范作用，激励广大干部开拓进取、攻坚克难，更好带领群众开启社会现代化建设新征程。加强政治监督，更加精准发挥监督保障执行、促进完善发展的作用，推动党中央和省委重大决策部署在随州落地。锲而不舍落实中央八项规定精神，持续纠治形势主义、官僚主义，切实为基层减负。</w:t>
      </w:r>
      <w:r>
        <w:rPr>
          <w:rFonts w:hint="eastAsia" w:cs="仿宋_GB2312"/>
          <w:color w:val="000000"/>
          <w:lang w:eastAsia="zh-CN"/>
        </w:rPr>
        <w:t xml:space="preserve">压紧压实全面从严治党主体责任、监督责任，完善权力配置和运行制约机制，提升依法治理能力和水平。发挥党内监督主导作用，推动各类监督有机贯通、相互协调，不断增强监督整体效能。健全</w:t>
      </w:r>
      <w:r>
        <w:rPr>
          <w:rFonts w:hint="eastAsia" w:cs="仿宋_GB2312"/>
          <w:color w:val="000000"/>
        </w:rPr>
        <w:t xml:space="preserve">一体推进不敢腐、不能腐、不想腐</w:t>
      </w:r>
      <w:r>
        <w:rPr>
          <w:rFonts w:hint="eastAsia" w:cs="仿宋_GB2312"/>
          <w:color w:val="000000"/>
          <w:lang w:eastAsia="zh-CN"/>
        </w:rPr>
        <w:t xml:space="preserve">体制机制</w:t>
      </w:r>
      <w:r>
        <w:rPr>
          <w:rFonts w:hint="eastAsia" w:cs="仿宋_GB2312"/>
          <w:color w:val="000000"/>
        </w:rPr>
        <w:t xml:space="preserve">，</w:t>
      </w:r>
      <w:r>
        <w:rPr>
          <w:rFonts w:hint="eastAsia" w:cs="仿宋_GB2312"/>
          <w:color w:val="000000"/>
          <w:lang w:eastAsia="zh-CN"/>
        </w:rPr>
        <w:t xml:space="preserve">全面推进清廉随州建设</w:t>
      </w:r>
      <w:r>
        <w:rPr>
          <w:rFonts w:hint="eastAsia" w:cs="仿宋_GB2312"/>
          <w:color w:val="000000"/>
        </w:rPr>
        <w:t xml:space="preserve">，为落实</w:t>
      </w:r>
      <w:r>
        <w:rPr>
          <w:color w:val="000000"/>
        </w:rPr>
        <w:t xml:space="preserve">“</w:t>
      </w:r>
      <w:r>
        <w:rPr>
          <w:rFonts w:hint="eastAsia" w:cs="仿宋_GB2312"/>
          <w:color w:val="000000"/>
        </w:rPr>
        <w:t xml:space="preserve">十四五</w:t>
      </w:r>
      <w:r>
        <w:rPr>
          <w:color w:val="000000"/>
        </w:rPr>
        <w:t xml:space="preserve">”</w:t>
      </w:r>
      <w:r>
        <w:rPr>
          <w:rFonts w:hint="eastAsia" w:cs="仿宋_GB2312"/>
          <w:color w:val="000000"/>
        </w:rPr>
        <w:t xml:space="preserve">规划营造良好政治生态和发展环境。</w:t>
      </w:r>
      <w:r>
        <w:rPr>
          <w:color w:val="000000"/>
        </w:rPr>
      </w:r>
      <w:r>
        <w:rPr>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rPr>
          <w:rFonts w:hint="eastAsia" w:ascii="黑体" w:hAnsi="黑体" w:eastAsia="黑体" w:cs="黑体"/>
          <w:b w:val="0"/>
          <w:bCs w:val="0"/>
          <w:color w:val="000000"/>
        </w:rPr>
        <w:t xml:space="preserve">二、凝聚全社会力量共同奋斗</w:t>
      </w:r>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color w:val="000000"/>
        </w:rPr>
      </w:pPr>
      <w:r>
        <w:rPr>
          <w:rFonts w:hint="eastAsia" w:cs="仿宋_GB2312"/>
          <w:color w:val="000000"/>
        </w:rPr>
        <w:t xml:space="preserve">巩固和发展最广泛的爱国统一战线，全面落实党的知识分子、民族、宗教、侨务等政策，充分发挥民主党派、工商联和无党派人士等的积极作用，促进政党关系、民族关系、宗教关系、阶层关系、海内外同胞关系和谐。深化群团改革，进一步发挥工会、共青团、妇联、科协、红十字会等群团组织的桥梁纽带作用，共同为全市改革发展稳定贡献力量。</w:t>
      </w:r>
      <w:r>
        <w:rPr>
          <w:color w:val="000000"/>
        </w:rPr>
      </w:r>
      <w:r>
        <w:rPr>
          <w:color w:val="000000"/>
        </w:rPr>
      </w:r>
    </w:p>
    <w:p>
      <w:pPr>
        <w:pStyle w:val="737"/>
        <w:pBdr/>
        <w:spacing/>
        <w:ind w:firstLine="640"/>
        <w:rPr>
          <w:color w:val="000000"/>
        </w:rPr>
      </w:pPr>
      <w:r>
        <w:rPr>
          <w:color w:val="000000"/>
        </w:rPr>
      </w:r>
      <w:r>
        <w:rPr>
          <w:color w:val="000000"/>
        </w:rPr>
      </w:r>
    </w:p>
    <w:p>
      <w:pPr>
        <w:pStyle w:val="739"/>
        <w:pBdr/>
        <w:spacing/>
        <w:ind w:firstLine="720"/>
        <w:rPr>
          <w:rFonts w:hint="eastAsia" w:ascii="黑体" w:hAnsi="黑体" w:eastAsia="黑体" w:cs="黑体"/>
          <w:b w:val="0"/>
          <w:bCs w:val="0"/>
          <w:color w:val="000000"/>
        </w:rPr>
      </w:pPr>
      <w:r>
        <w:rPr>
          <w:rFonts w:hint="eastAsia" w:ascii="黑体" w:hAnsi="黑体" w:eastAsia="黑体" w:cs="黑体"/>
          <w:b w:val="0"/>
          <w:bCs w:val="0"/>
          <w:color w:val="000000"/>
        </w:rPr>
        <w:t xml:space="preserve">三、加强规划实施和管理</w:t>
      </w:r>
      <w:r>
        <w:rPr>
          <w:rFonts w:hint="eastAsia" w:ascii="黑体" w:hAnsi="黑体" w:eastAsia="黑体" w:cs="黑体"/>
          <w:b w:val="0"/>
          <w:bCs w:val="0"/>
          <w:color w:val="000000"/>
        </w:rPr>
      </w:r>
      <w:r>
        <w:rPr>
          <w:rFonts w:hint="eastAsia" w:ascii="黑体" w:hAnsi="黑体" w:eastAsia="黑体" w:cs="黑体"/>
          <w:b w:val="0"/>
          <w:bCs w:val="0"/>
          <w:color w:val="000000"/>
        </w:rPr>
      </w:r>
    </w:p>
    <w:p>
      <w:pPr>
        <w:pStyle w:val="737"/>
        <w:pBdr/>
        <w:spacing/>
        <w:ind w:firstLine="640"/>
        <w:rPr>
          <w:color w:val="000000"/>
        </w:rPr>
      </w:pPr>
      <w:r>
        <w:rPr>
          <w:rFonts w:hint="eastAsia" w:cs="仿宋_GB2312"/>
          <w:color w:val="000000"/>
        </w:rPr>
        <w:t xml:space="preserve">充分发挥规划对资源配置的导向作用，建立健全规划有效实施的保障机制，确保规划发展目标和各项重点任务顺利完成。强化经济社会发展规划纲要的作用，将其作为制定国土空间规划、区域规划、专项规划、年度计划以及相关政策、安排重大项目的重要依据。完善调控体系，加强年度计划与纲要的衔接，建立健全发展规划项目库，强化纲要对政府公共预算安排、金融资本运用、国土空间开发、资源配置等领域的引导和协调。</w:t>
      </w:r>
      <w:r>
        <w:rPr>
          <w:color w:val="000000"/>
        </w:rPr>
      </w:r>
      <w:r>
        <w:rPr>
          <w:color w:val="000000"/>
        </w:rPr>
      </w:r>
    </w:p>
    <w:p>
      <w:pPr>
        <w:pStyle w:val="737"/>
        <w:pBdr/>
        <w:spacing/>
        <w:ind w:firstLine="640"/>
        <w:rPr>
          <w:color w:val="000000"/>
        </w:rPr>
      </w:pPr>
      <w:r>
        <w:rPr>
          <w:rFonts w:hint="eastAsia" w:cs="仿宋_GB2312"/>
          <w:color w:val="000000"/>
        </w:rPr>
        <w:t xml:space="preserve">强化政府目标责任，纲要提出的约束性指标和公共服务领域内的任务，是政府对全市人民的庄严承诺，要加强综合评价和绩效考核。科学引导市场行为，落实纲要提出的预期性指标和产业发展等任务，要充分发挥市场在资源配置中的决定性作用，主要依靠市场主体的自主行为实现。</w:t>
      </w:r>
      <w:r>
        <w:rPr>
          <w:color w:val="000000"/>
        </w:rPr>
      </w:r>
      <w:r>
        <w:rPr>
          <w:color w:val="000000"/>
        </w:rPr>
      </w:r>
    </w:p>
    <w:p>
      <w:pPr>
        <w:pStyle w:val="737"/>
        <w:pBdr/>
        <w:spacing/>
        <w:ind w:firstLine="640"/>
        <w:rPr>
          <w:color w:val="000000"/>
        </w:rPr>
      </w:pPr>
      <w:r>
        <w:rPr>
          <w:rFonts w:hint="eastAsia" w:cs="仿宋_GB2312"/>
          <w:color w:val="000000"/>
        </w:rPr>
        <w:t xml:space="preserve">创新监测方式，运用现代信息技术建立大数据库，有效整合互联网数据和统计数据，全面真实反映规划实施情况，为科学评估提供支撑。创新评估方式，做好规划实施中期评估和总结评估，引入第三方评估，增强规划评估的客观性和准确性。进一步完善规划实施的公众参与和民主监督机制，及时公开规划实施相关信息，接受全社会监督。</w:t>
      </w:r>
      <w:r>
        <w:rPr>
          <w:color w:val="000000"/>
        </w:rPr>
      </w:r>
      <w:r>
        <w:rPr>
          <w:color w:val="000000"/>
        </w:rPr>
      </w:r>
    </w:p>
    <w:p>
      <w:pPr>
        <w:pStyle w:val="737"/>
        <w:pBdr/>
        <w:spacing/>
        <w:ind w:firstLine="640"/>
        <w:rPr>
          <w:color w:val="000000"/>
        </w:rPr>
      </w:pPr>
      <w:r>
        <w:rPr>
          <w:rFonts w:hint="eastAsia" w:cs="仿宋_GB2312"/>
          <w:color w:val="000000"/>
        </w:rPr>
        <w:t xml:space="preserve">各相关部门要自觉接受市人民代表大会及其常务委员会对纲要实施情况的监督检查。实施过程中宏观环境发生重大变化，需要对纲要进行调整时，按程序报经市人民代表大会常务委员会批准。</w:t>
      </w:r>
      <w:r>
        <w:rPr>
          <w:color w:val="000000"/>
        </w:rPr>
      </w:r>
      <w:r>
        <w:rPr>
          <w:color w:val="000000"/>
        </w:rPr>
      </w:r>
    </w:p>
    <w:p>
      <w:pPr>
        <w:pStyle w:val="737"/>
        <w:pBdr/>
        <w:spacing/>
        <w:ind w:firstLine="640"/>
        <w:rPr>
          <w:rFonts w:hint="eastAsia"/>
          <w:color w:val="000000"/>
        </w:rPr>
      </w:pPr>
      <w:r>
        <w:rPr>
          <w:rFonts w:hint="eastAsia"/>
          <w:color w:val="000000"/>
        </w:rPr>
      </w:r>
      <w:r>
        <w:rPr>
          <w:rFonts w:hint="eastAsia"/>
          <w:color w:val="000000"/>
        </w:rPr>
      </w:r>
    </w:p>
    <w:p>
      <w:pPr>
        <w:pStyle w:val="745"/>
        <w:pBdr/>
        <w:spacing/>
        <w:ind w:firstLine="640" w:left="640"/>
        <w:rPr>
          <w:rFonts w:hint="eastAsia"/>
        </w:rPr>
      </w:pPr>
      <w:r>
        <w:rPr>
          <w:rFonts w:hint="eastAsia"/>
        </w:rPr>
      </w:r>
      <w:r>
        <w:rPr>
          <w:rFonts w:hint="eastAsia"/>
        </w:rPr>
      </w:r>
    </w:p>
    <w:p>
      <w:pPr>
        <w:pStyle w:val="737"/>
        <w:pBdr/>
        <w:spacing/>
        <w:ind w:firstLine="640"/>
        <w:rPr>
          <w:rFonts w:hint="eastAsia"/>
        </w:rPr>
      </w:pPr>
      <w:r>
        <w:rPr>
          <w:rFonts w:hint="eastAsia"/>
        </w:rPr>
      </w:r>
      <w:r>
        <w:rPr>
          <w:rFonts w:hint="eastAsia"/>
        </w:rPr>
      </w:r>
    </w:p>
    <w:p>
      <w:pPr>
        <w:pStyle w:val="745"/>
        <w:pBdr/>
        <w:spacing/>
        <w:ind w:firstLine="640" w:left="640"/>
        <w:rPr>
          <w:rFonts w:hint="eastAsia"/>
        </w:rPr>
      </w:pPr>
      <w:r>
        <w:rPr>
          <w:rFonts w:hint="eastAsia"/>
        </w:rPr>
      </w:r>
      <w:r>
        <w:rPr>
          <w:rFonts w:hint="eastAsia"/>
        </w:rPr>
      </w:r>
    </w:p>
    <w:sectPr>
      <w:footerReference w:type="default" r:id="rId14"/>
      <w:footnotePr/>
      <w:endnotePr/>
      <w:type w:val="nextPage"/>
      <w:pgSz w:h="16838" w:orient="landscape" w:w="11906"/>
      <w:pgMar w:top="1985" w:right="1588" w:bottom="1814" w:left="1588" w:header="851" w:footer="1418" w:gutter="0"/>
      <w:pgNumType w:start="1"/>
      <w:cols w:num="1" w:sep="0" w:space="1701" w:equalWidth="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pBdr/>
        <w:spacing w:after="0" w:line="240" w:lineRule="auto"/>
        <w:ind/>
        <w:rPr/>
      </w:pPr>
      <w:r/>
      <w:r>
        <w:separator/>
      </w:r>
      <w:r/>
    </w:p>
  </w:endnote>
  <w:endnote w:type="continuationSeparator" w:id="0">
    <w:p>
      <w:pPr>
        <w:pBdr/>
        <w:spacing w:after="0" w:line="240" w:lineRule="auto"/>
        <w:ind/>
        <w:rPr/>
      </w:pPr>
      <w: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方正仿宋_GBK">
    <w:panose1 w:val="020B0604020202020204"/>
  </w:font>
  <w:font w:name="TimesNewRomanPSMT">
    <w:panose1 w:val="02020603050405020304"/>
  </w:font>
  <w:font w:name="宋体-方正超大字符集">
    <w:panose1 w:val="02010600030101010101"/>
  </w:font>
  <w:font w:name="楷体_GB2312">
    <w:panose1 w:val="02010609060101010101"/>
  </w:font>
  <w:font w:name="Sim Sun">
    <w:panose1 w:val="02010600030101010101"/>
  </w:font>
  <w:font w:name="仿宋">
    <w:panose1 w:val="02010609060101010101"/>
  </w:font>
  <w:font w:name="楷体">
    <w:panose1 w:val="02010609060101010101"/>
  </w:font>
  <w:font w:name="黑体">
    <w:panose1 w:val="02010609060101010101"/>
  </w:font>
  <w:font w:name="方正小标宋简体">
    <w:panose1 w:val="020B0604020202020204"/>
  </w:font>
  <w:font w:name="仿宋_GB2312">
    <w:panose1 w:val="02010609060101010101"/>
  </w:font>
  <w:font w:name="Arial">
    <w:panose1 w:val="020B0604020202020204"/>
  </w:font>
  <w:font w:name="Calibri">
    <w:panose1 w:val="020F0502020204030204"/>
  </w:font>
  <w:font w:name="等线">
    <w:panose1 w:val="02010600030101010101"/>
  </w:font>
  <w:font w:name="宋体">
    <w:panose1 w:val="02010600030101010101"/>
  </w:font>
  <w:font w:name="Courier New">
    <w:panose1 w:val="02070309020205020404"/>
  </w:font>
  <w:font w:name="Times New Roman">
    <w:panose1 w:val="02020603050405020304"/>
  </w:font>
  <w:font w:name="Cambria">
    <w:panose1 w:val="0204050305040603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762"/>
      <w:pBdr/>
      <w:tabs>
        <w:tab w:val="center" w:leader="none" w:pos="4153"/>
        <w:tab w:val="right" w:leader="none" w:pos="8306"/>
      </w:tabs>
      <w:spacing/>
      <w:ind/>
      <w:rPr/>
    </w:pPr>
    <w:r>
      <w:fldChar w:fldCharType="begin"/>
    </w:r>
    <w:r>
      <w:instrText xml:space="preserve">PAGE   \* MERGEFORMAT</w:instrText>
    </w:r>
    <w:r>
      <w:fldChar w:fldCharType="separate"/>
    </w:r>
    <w:r>
      <w:t xml:space="preserve">II</w:t>
    </w:r>
    <w:r>
      <w:fldChar w:fldCharType="end"/>
    </w:r>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762"/>
      <w:framePr w:hAnchor="margin" w:vAnchor="text" w:wrap="around" w:xAlign="outside" w:y="1"/>
      <w:pBdr/>
      <w:tabs>
        <w:tab w:val="center" w:leader="none" w:pos="4153"/>
        <w:tab w:val="right" w:leader="none" w:pos="8306"/>
      </w:tabs>
      <w:spacing/>
      <w:ind/>
      <w:rPr>
        <w:rStyle w:val="775"/>
      </w:rPr>
    </w:pPr>
    <w:r>
      <w:fldChar w:fldCharType="begin"/>
    </w:r>
    <w:r>
      <w:rPr>
        <w:rStyle w:val="775"/>
      </w:rPr>
      <w:instrText xml:space="preserve">PAGE  </w:instrText>
    </w:r>
    <w:r>
      <w:fldChar w:fldCharType="end"/>
    </w:r>
    <w:r>
      <w:rPr>
        <w:rStyle w:val="775"/>
      </w:rPr>
    </w:r>
    <w:r>
      <w:rPr>
        <w:rStyle w:val="775"/>
      </w:rPr>
    </w:r>
  </w:p>
  <w:p>
    <w:pPr>
      <w:pStyle w:val="762"/>
      <w:pBdr/>
      <w:tabs>
        <w:tab w:val="center" w:leader="none" w:pos="4153"/>
        <w:tab w:val="right" w:leader="none" w:pos="8306"/>
      </w:tabs>
      <w:spacing/>
      <w:ind w:right="360" w:firstLine="360"/>
      <w:rPr/>
    </w:pPr>
    <w:r/>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762"/>
      <w:pBdr/>
      <w:tabs>
        <w:tab w:val="center" w:leader="none" w:pos="4153"/>
        <w:tab w:val="right" w:leader="none" w:pos="8306"/>
      </w:tabs>
      <w:spacing/>
      <w:ind/>
      <w:rPr/>
    </w:pPr>
    <w:r/>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762"/>
      <w:framePr w:hAnchor="margin" w:vAnchor="text" w:wrap="around" w:xAlign="outside" w:y="1"/>
      <w:pBdr/>
      <w:tabs>
        <w:tab w:val="center" w:leader="none" w:pos="4153"/>
        <w:tab w:val="right" w:leader="none" w:pos="8306"/>
      </w:tabs>
      <w:spacing/>
      <w:ind/>
      <w:rPr>
        <w:rStyle w:val="775"/>
        <w:rFonts w:hint="eastAsia"/>
        <w:sz w:val="24"/>
        <w:szCs w:val="24"/>
      </w:rPr>
    </w:pPr>
    <w:r>
      <w:rPr>
        <w:rStyle w:val="775"/>
        <w:rFonts w:hint="eastAsia"/>
        <w:sz w:val="24"/>
        <w:szCs w:val="24"/>
      </w:rPr>
      <w:t xml:space="preserve">— </w:t>
    </w:r>
    <w:r>
      <w:rPr>
        <w:sz w:val="24"/>
        <w:szCs w:val="24"/>
      </w:rPr>
      <w:fldChar w:fldCharType="begin"/>
    </w:r>
    <w:r>
      <w:rPr>
        <w:rStyle w:val="775"/>
        <w:sz w:val="24"/>
        <w:szCs w:val="24"/>
      </w:rPr>
      <w:instrText xml:space="preserve">PAGE  </w:instrText>
    </w:r>
    <w:r>
      <w:rPr>
        <w:sz w:val="24"/>
        <w:szCs w:val="24"/>
      </w:rPr>
      <w:fldChar w:fldCharType="separate"/>
    </w:r>
    <w:r>
      <w:rPr>
        <w:rStyle w:val="775"/>
        <w:sz w:val="24"/>
        <w:szCs w:val="24"/>
      </w:rPr>
      <w:t xml:space="preserve">130</w:t>
    </w:r>
    <w:r>
      <w:rPr>
        <w:sz w:val="24"/>
        <w:szCs w:val="24"/>
      </w:rPr>
      <w:fldChar w:fldCharType="end"/>
    </w:r>
    <w:r>
      <w:rPr>
        <w:rStyle w:val="775"/>
        <w:rFonts w:hint="eastAsia"/>
        <w:sz w:val="24"/>
        <w:szCs w:val="24"/>
      </w:rPr>
      <w:t xml:space="preserve"> —</w:t>
    </w:r>
    <w:r>
      <w:rPr>
        <w:rStyle w:val="775"/>
        <w:rFonts w:hint="eastAsia"/>
        <w:sz w:val="24"/>
        <w:szCs w:val="24"/>
      </w:rPr>
    </w:r>
    <w:r>
      <w:rPr>
        <w:rStyle w:val="775"/>
        <w:rFonts w:hint="eastAsia"/>
        <w:sz w:val="24"/>
        <w:szCs w:val="24"/>
      </w:rPr>
    </w:r>
  </w:p>
  <w:p>
    <w:pPr>
      <w:pStyle w:val="762"/>
      <w:pBdr/>
      <w:tabs>
        <w:tab w:val="center" w:leader="none" w:pos="4153"/>
        <w:tab w:val="right" w:leader="none" w:pos="8306"/>
      </w:tabs>
      <w:spacing/>
      <w:ind w:right="360" w:firstLine="360"/>
      <w:rPr/>
    </w:pPr>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pBdr/>
        <w:spacing w:after="0" w:line="240" w:lineRule="auto"/>
        <w:ind/>
        <w:rPr/>
      </w:pPr>
      <w:r/>
      <w:r>
        <w:separator/>
      </w:r>
      <w:r/>
    </w:p>
  </w:footnote>
  <w:footnote w:type="continuationSeparator" w:id="0">
    <w:p>
      <w:pPr>
        <w:pBdr/>
        <w:spacing w:after="0" w:line="240" w:lineRule="auto"/>
        <w:ind/>
        <w:rPr/>
      </w:pPr>
      <w:r/>
      <w:r>
        <w:continuationSeparator/>
      </w:r>
      <w:r/>
    </w:p>
  </w:footnote>
  <w:footnote w:id="2">
    <w:p>
      <w:pPr>
        <w:pStyle w:val="767"/>
        <w:pBdr/>
        <w:spacing/>
        <w:ind w:firstLine="360"/>
        <w:rPr/>
      </w:pPr>
      <w:r>
        <w:rPr>
          <w:rStyle w:val="779"/>
          <w:sz w:val="18"/>
          <w:szCs w:val="18"/>
          <w:vertAlign w:val="baseline"/>
        </w:rPr>
        <w:footnoteRef/>
      </w:r>
      <w:r>
        <w:t xml:space="preserve"> </w:t>
      </w:r>
      <w:r>
        <w:rPr>
          <w:rFonts w:hint="eastAsia" w:eastAsia="仿宋_GB2312" w:cs="仿宋_GB2312"/>
        </w:rPr>
        <w:t xml:space="preserve">注：“五个一”行动即一个城市形象宣传口号、一个城市品牌</w:t>
      </w:r>
      <w:r>
        <w:rPr>
          <w:rFonts w:hint="eastAsia" w:eastAsia="仿宋_GB2312"/>
        </w:rPr>
        <w:t xml:space="preserve">LOGO</w:t>
      </w:r>
      <w:r>
        <w:rPr>
          <w:rFonts w:hint="eastAsia" w:eastAsia="仿宋_GB2312" w:cs="仿宋_GB2312"/>
        </w:rPr>
        <w:t xml:space="preserve">和吉祥物、一套城市旅游符号和标识系统、一套文创产品体系、一系列推广应用方案。</w:t>
      </w:r>
      <w:r/>
    </w:p>
  </w:footnote>
  <w:footnote w:id="3">
    <w:p>
      <w:pPr>
        <w:pStyle w:val="767"/>
        <w:pBdr/>
        <w:spacing/>
        <w:ind w:firstLine="360"/>
        <w:rPr>
          <w:rFonts w:hint="eastAsia" w:eastAsia="仿宋_GB2312" w:cs="仿宋_GB2312"/>
          <w:lang w:eastAsia="zh-CN"/>
        </w:rPr>
      </w:pPr>
      <w:r>
        <w:rPr>
          <w:rFonts w:hint="eastAsia" w:eastAsia="仿宋_GB2312" w:cs="仿宋_GB2312"/>
          <w:sz w:val="18"/>
        </w:rPr>
        <w:footnoteRef/>
      </w:r>
      <w:r>
        <w:rPr>
          <w:rFonts w:hint="eastAsia" w:eastAsia="仿宋_GB2312" w:cs="仿宋_GB2312"/>
        </w:rPr>
        <w:t xml:space="preserve"> 注：“</w:t>
      </w:r>
      <w:r>
        <w:rPr>
          <w:rFonts w:hint="eastAsia" w:eastAsia="仿宋_GB2312" w:cs="仿宋_GB2312"/>
          <w:lang w:val="en-US" w:eastAsia="zh-CN"/>
        </w:rPr>
        <w:t xml:space="preserve">323</w:t>
      </w:r>
      <w:r>
        <w:rPr>
          <w:rFonts w:hint="eastAsia" w:eastAsia="仿宋_GB2312" w:cs="仿宋_GB2312"/>
        </w:rPr>
        <w:t xml:space="preserve">”</w:t>
      </w:r>
      <w:r>
        <w:rPr>
          <w:rFonts w:hint="eastAsia" w:eastAsia="仿宋_GB2312" w:cs="仿宋_GB2312"/>
          <w:lang w:eastAsia="zh-CN"/>
        </w:rPr>
        <w:t xml:space="preserve">即</w:t>
      </w:r>
      <w:r>
        <w:rPr>
          <w:rFonts w:hint="eastAsia" w:eastAsia="仿宋_GB2312" w:cs="仿宋_GB2312"/>
        </w:rPr>
        <w:t xml:space="preserve">心脑血管病、癌症、慢性呼吸系统病3类重大疾病，高血压、糖尿病2种基础疾病，出生缺陷、儿童青少年近视、精神卫生3类突出公共卫生问题</w:t>
      </w:r>
      <w:r>
        <w:rPr>
          <w:rFonts w:hint="eastAsia" w:eastAsia="仿宋_GB2312" w:cs="仿宋_GB2312"/>
          <w:lang w:eastAsia="zh-CN"/>
        </w:rPr>
        <w:t xml:space="preserve">。</w:t>
      </w:r>
      <w:r>
        <w:rPr>
          <w:rFonts w:hint="eastAsia" w:eastAsia="仿宋_GB2312" w:cs="仿宋_GB2312"/>
          <w:lang w:eastAsia="zh-CN"/>
        </w:rPr>
      </w:r>
      <w:r>
        <w:rPr>
          <w:rFonts w:hint="eastAsia" w:eastAsia="仿宋_GB2312" w:cs="仿宋_GB2312"/>
          <w:lang w:eastAsia="zh-CN"/>
        </w:rP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764"/>
      <w:pBdr>
        <w:bottom w:val="none" w:color="000000" w:sz="0" w:space="0"/>
      </w:pBdr>
      <w:tabs>
        <w:tab w:val="center" w:leader="none" w:pos="4153"/>
        <w:tab w:val="right" w:leader="none" w:pos="8306"/>
      </w:tabs>
      <w:spacing/>
      <w:ind w:firstLine="360"/>
      <w:rPr/>
    </w:p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764"/>
      <w:pBdr/>
      <w:tabs>
        <w:tab w:val="center" w:leader="none" w:pos="4153"/>
        <w:tab w:val="right" w:leader="none" w:pos="8306"/>
      </w:tabs>
      <w:spacing/>
      <w:ind w:firstLine="360"/>
      <w:rPr/>
    </w:pPr>
    <w: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764"/>
      <w:pBdr>
        <w:bottom w:val="none" w:color="000000" w:sz="0" w:space="0"/>
      </w:pBdr>
      <w:tabs>
        <w:tab w:val="center" w:leader="none" w:pos="4153"/>
        <w:tab w:val="right" w:leader="none" w:pos="8306"/>
      </w:tabs>
      <w:spacing/>
      <w:ind w:firstLine="360"/>
      <w:rPr/>
    </w:pPr>
    <w:r/>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val="true"/>
  <w:trackRevisions w:val="false"/>
  <w:documentProtection/>
  <w:defaultTabStop w:val="420"/>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balanceSingleByteDoubleByteWidth w:val="true"/>
    <w:doNotExpandShiftReturn w:val="true"/>
    <w:splitPgBreakAndParaMark w:val="true"/>
    <w:compatSetting w:name="compatibilityMode" w:uri="http://schemas.microsoft.com/office/word" w:val="1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imes New Roman" w:hAnsi="Times New Roman" w:eastAsia="宋体" w:cs="Times New Roman"/>
      </w:rPr>
    </w:rPrDefault>
    <w:pPrDefault>
      <w:pPr>
        <w:pBdr/>
        <w:spacing/>
        <w:ind/>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13">
    <w:name w:val="Heading 1"/>
    <w:basedOn w:val="737"/>
    <w:next w:val="737"/>
    <w:link w:val="14"/>
    <w:uiPriority w:val="9"/>
    <w:qFormat/>
    <w:pPr>
      <w:keepNext w:val="true"/>
      <w:keepLines w:val="true"/>
      <w:pBdr/>
      <w:spacing w:after="200" w:before="480"/>
      <w:ind/>
      <w:outlineLvl w:val="0"/>
    </w:pPr>
    <w:rPr>
      <w:rFonts w:ascii="等线" w:hAnsi="等线" w:eastAsia="等线" w:cs="等线"/>
      <w:sz w:val="40"/>
      <w:szCs w:val="40"/>
    </w:rPr>
  </w:style>
  <w:style w:type="character" w:styleId="14">
    <w:name w:val="Heading 1 Char"/>
    <w:basedOn w:val="11"/>
    <w:link w:val="13"/>
    <w:uiPriority w:val="9"/>
    <w:pPr>
      <w:pBdr/>
      <w:spacing/>
      <w:ind/>
    </w:pPr>
    <w:rPr>
      <w:rFonts w:ascii="等线" w:hAnsi="等线" w:eastAsia="等线" w:cs="等线"/>
      <w:sz w:val="40"/>
      <w:szCs w:val="40"/>
    </w:rPr>
  </w:style>
  <w:style w:type="paragraph" w:styleId="15">
    <w:name w:val="Heading 2"/>
    <w:basedOn w:val="737"/>
    <w:next w:val="737"/>
    <w:link w:val="16"/>
    <w:uiPriority w:val="9"/>
    <w:unhideWhenUsed/>
    <w:qFormat/>
    <w:pPr>
      <w:keepNext w:val="true"/>
      <w:keepLines w:val="true"/>
      <w:pBdr/>
      <w:spacing w:after="200" w:before="360"/>
      <w:ind/>
      <w:outlineLvl w:val="1"/>
    </w:pPr>
    <w:rPr>
      <w:rFonts w:ascii="等线" w:hAnsi="等线" w:eastAsia="等线" w:cs="等线"/>
      <w:sz w:val="34"/>
    </w:rPr>
  </w:style>
  <w:style w:type="character" w:styleId="16">
    <w:name w:val="Heading 2 Char"/>
    <w:basedOn w:val="11"/>
    <w:link w:val="15"/>
    <w:uiPriority w:val="9"/>
    <w:pPr>
      <w:pBdr/>
      <w:spacing/>
      <w:ind/>
    </w:pPr>
    <w:rPr>
      <w:rFonts w:ascii="等线" w:hAnsi="等线" w:eastAsia="等线" w:cs="等线"/>
      <w:sz w:val="34"/>
    </w:rPr>
  </w:style>
  <w:style w:type="paragraph" w:styleId="17">
    <w:name w:val="Heading 3"/>
    <w:basedOn w:val="737"/>
    <w:next w:val="737"/>
    <w:link w:val="18"/>
    <w:uiPriority w:val="9"/>
    <w:unhideWhenUsed/>
    <w:qFormat/>
    <w:pPr>
      <w:keepNext w:val="true"/>
      <w:keepLines w:val="true"/>
      <w:pBdr/>
      <w:spacing w:after="200" w:before="320"/>
      <w:ind/>
      <w:outlineLvl w:val="2"/>
    </w:pPr>
    <w:rPr>
      <w:rFonts w:ascii="等线" w:hAnsi="等线" w:eastAsia="等线" w:cs="等线"/>
      <w:sz w:val="30"/>
      <w:szCs w:val="30"/>
    </w:rPr>
  </w:style>
  <w:style w:type="character" w:styleId="18">
    <w:name w:val="Heading 3 Char"/>
    <w:basedOn w:val="11"/>
    <w:link w:val="17"/>
    <w:uiPriority w:val="9"/>
    <w:pPr>
      <w:pBdr/>
      <w:spacing/>
      <w:ind/>
    </w:pPr>
    <w:rPr>
      <w:rFonts w:ascii="等线" w:hAnsi="等线" w:eastAsia="等线" w:cs="等线"/>
      <w:sz w:val="30"/>
      <w:szCs w:val="30"/>
    </w:rPr>
  </w:style>
  <w:style w:type="paragraph" w:styleId="19">
    <w:name w:val="Heading 4"/>
    <w:basedOn w:val="737"/>
    <w:next w:val="737"/>
    <w:link w:val="20"/>
    <w:uiPriority w:val="9"/>
    <w:unhideWhenUsed/>
    <w:qFormat/>
    <w:pPr>
      <w:keepNext w:val="true"/>
      <w:keepLines w:val="true"/>
      <w:pBdr/>
      <w:spacing w:after="200" w:before="320"/>
      <w:ind/>
      <w:outlineLvl w:val="3"/>
    </w:pPr>
    <w:rPr>
      <w:rFonts w:ascii="等线" w:hAnsi="等线" w:eastAsia="等线" w:cs="等线"/>
      <w:b/>
      <w:bCs/>
      <w:sz w:val="26"/>
      <w:szCs w:val="26"/>
    </w:rPr>
  </w:style>
  <w:style w:type="character" w:styleId="20">
    <w:name w:val="Heading 4 Char"/>
    <w:basedOn w:val="11"/>
    <w:link w:val="19"/>
    <w:uiPriority w:val="9"/>
    <w:pPr>
      <w:pBdr/>
      <w:spacing/>
      <w:ind/>
    </w:pPr>
    <w:rPr>
      <w:rFonts w:ascii="等线" w:hAnsi="等线" w:eastAsia="等线" w:cs="等线"/>
      <w:b/>
      <w:bCs/>
      <w:sz w:val="26"/>
      <w:szCs w:val="26"/>
    </w:rPr>
  </w:style>
  <w:style w:type="paragraph" w:styleId="21">
    <w:name w:val="Heading 5"/>
    <w:basedOn w:val="737"/>
    <w:next w:val="737"/>
    <w:link w:val="22"/>
    <w:uiPriority w:val="9"/>
    <w:unhideWhenUsed/>
    <w:qFormat/>
    <w:pPr>
      <w:keepNext w:val="true"/>
      <w:keepLines w:val="true"/>
      <w:pBdr/>
      <w:spacing w:after="200" w:before="320"/>
      <w:ind/>
      <w:outlineLvl w:val="4"/>
    </w:pPr>
    <w:rPr>
      <w:rFonts w:ascii="等线" w:hAnsi="等线" w:eastAsia="等线" w:cs="等线"/>
      <w:b/>
      <w:bCs/>
      <w:sz w:val="24"/>
      <w:szCs w:val="24"/>
    </w:rPr>
  </w:style>
  <w:style w:type="character" w:styleId="22">
    <w:name w:val="Heading 5 Char"/>
    <w:basedOn w:val="11"/>
    <w:link w:val="21"/>
    <w:uiPriority w:val="9"/>
    <w:pPr>
      <w:pBdr/>
      <w:spacing/>
      <w:ind/>
    </w:pPr>
    <w:rPr>
      <w:rFonts w:ascii="等线" w:hAnsi="等线" w:eastAsia="等线" w:cs="等线"/>
      <w:b/>
      <w:bCs/>
      <w:sz w:val="24"/>
      <w:szCs w:val="24"/>
    </w:rPr>
  </w:style>
  <w:style w:type="paragraph" w:styleId="23">
    <w:name w:val="Heading 6"/>
    <w:basedOn w:val="737"/>
    <w:next w:val="737"/>
    <w:link w:val="24"/>
    <w:uiPriority w:val="9"/>
    <w:unhideWhenUsed/>
    <w:qFormat/>
    <w:pPr>
      <w:keepNext w:val="true"/>
      <w:keepLines w:val="true"/>
      <w:pBdr/>
      <w:spacing w:after="200" w:before="320"/>
      <w:ind/>
      <w:outlineLvl w:val="5"/>
    </w:pPr>
    <w:rPr>
      <w:rFonts w:ascii="等线" w:hAnsi="等线" w:eastAsia="等线" w:cs="等线"/>
      <w:b/>
      <w:bCs/>
      <w:sz w:val="22"/>
      <w:szCs w:val="22"/>
    </w:rPr>
  </w:style>
  <w:style w:type="character" w:styleId="24">
    <w:name w:val="Heading 6 Char"/>
    <w:basedOn w:val="11"/>
    <w:link w:val="23"/>
    <w:uiPriority w:val="9"/>
    <w:pPr>
      <w:pBdr/>
      <w:spacing/>
      <w:ind/>
    </w:pPr>
    <w:rPr>
      <w:rFonts w:ascii="等线" w:hAnsi="等线" w:eastAsia="等线" w:cs="等线"/>
      <w:b/>
      <w:bCs/>
      <w:sz w:val="22"/>
      <w:szCs w:val="22"/>
    </w:rPr>
  </w:style>
  <w:style w:type="paragraph" w:styleId="25">
    <w:name w:val="Heading 7"/>
    <w:basedOn w:val="737"/>
    <w:next w:val="737"/>
    <w:link w:val="26"/>
    <w:uiPriority w:val="9"/>
    <w:unhideWhenUsed/>
    <w:qFormat/>
    <w:pPr>
      <w:keepNext w:val="true"/>
      <w:keepLines w:val="true"/>
      <w:pBdr/>
      <w:spacing w:after="200" w:before="320"/>
      <w:ind/>
      <w:outlineLvl w:val="6"/>
    </w:pPr>
    <w:rPr>
      <w:rFonts w:ascii="等线" w:hAnsi="等线" w:eastAsia="等线" w:cs="等线"/>
      <w:b/>
      <w:bCs/>
      <w:i/>
      <w:iCs/>
      <w:sz w:val="22"/>
      <w:szCs w:val="22"/>
    </w:rPr>
  </w:style>
  <w:style w:type="character" w:styleId="26">
    <w:name w:val="Heading 7 Char"/>
    <w:basedOn w:val="11"/>
    <w:link w:val="25"/>
    <w:uiPriority w:val="9"/>
    <w:pPr>
      <w:pBdr/>
      <w:spacing/>
      <w:ind/>
    </w:pPr>
    <w:rPr>
      <w:rFonts w:ascii="等线" w:hAnsi="等线" w:eastAsia="等线" w:cs="等线"/>
      <w:b/>
      <w:bCs/>
      <w:i/>
      <w:iCs/>
      <w:sz w:val="22"/>
      <w:szCs w:val="22"/>
    </w:rPr>
  </w:style>
  <w:style w:type="paragraph" w:styleId="27">
    <w:name w:val="Heading 8"/>
    <w:basedOn w:val="737"/>
    <w:next w:val="737"/>
    <w:link w:val="28"/>
    <w:uiPriority w:val="9"/>
    <w:unhideWhenUsed/>
    <w:qFormat/>
    <w:pPr>
      <w:keepNext w:val="true"/>
      <w:keepLines w:val="true"/>
      <w:pBdr/>
      <w:spacing w:after="200" w:before="320"/>
      <w:ind/>
      <w:outlineLvl w:val="7"/>
    </w:pPr>
    <w:rPr>
      <w:rFonts w:ascii="等线" w:hAnsi="等线" w:eastAsia="等线" w:cs="等线"/>
      <w:i/>
      <w:iCs/>
      <w:sz w:val="22"/>
      <w:szCs w:val="22"/>
    </w:rPr>
  </w:style>
  <w:style w:type="character" w:styleId="28">
    <w:name w:val="Heading 8 Char"/>
    <w:basedOn w:val="11"/>
    <w:link w:val="27"/>
    <w:uiPriority w:val="9"/>
    <w:pPr>
      <w:pBdr/>
      <w:spacing/>
      <w:ind/>
    </w:pPr>
    <w:rPr>
      <w:rFonts w:ascii="等线" w:hAnsi="等线" w:eastAsia="等线" w:cs="等线"/>
      <w:i/>
      <w:iCs/>
      <w:sz w:val="22"/>
      <w:szCs w:val="22"/>
    </w:rPr>
  </w:style>
  <w:style w:type="paragraph" w:styleId="29">
    <w:name w:val="Heading 9"/>
    <w:basedOn w:val="737"/>
    <w:next w:val="737"/>
    <w:link w:val="30"/>
    <w:uiPriority w:val="9"/>
    <w:unhideWhenUsed/>
    <w:qFormat/>
    <w:pPr>
      <w:keepNext w:val="true"/>
      <w:keepLines w:val="true"/>
      <w:pBdr/>
      <w:spacing w:after="200" w:before="320"/>
      <w:ind/>
      <w:outlineLvl w:val="8"/>
    </w:pPr>
    <w:rPr>
      <w:rFonts w:ascii="等线" w:hAnsi="等线" w:eastAsia="等线" w:cs="等线"/>
      <w:i/>
      <w:iCs/>
      <w:sz w:val="21"/>
      <w:szCs w:val="21"/>
    </w:rPr>
  </w:style>
  <w:style w:type="character" w:styleId="30">
    <w:name w:val="Heading 9 Char"/>
    <w:basedOn w:val="11"/>
    <w:link w:val="29"/>
    <w:uiPriority w:val="9"/>
    <w:pPr>
      <w:pBdr/>
      <w:spacing/>
      <w:ind/>
    </w:pPr>
    <w:rPr>
      <w:rFonts w:ascii="等线" w:hAnsi="等线" w:eastAsia="等线" w:cs="等线"/>
      <w:i/>
      <w:iCs/>
      <w:sz w:val="21"/>
      <w:szCs w:val="21"/>
    </w:rPr>
  </w:style>
  <w:style w:type="paragraph" w:styleId="34">
    <w:name w:val="Title"/>
    <w:basedOn w:val="737"/>
    <w:next w:val="737"/>
    <w:link w:val="35"/>
    <w:uiPriority w:val="10"/>
    <w:qFormat/>
    <w:pPr>
      <w:pBdr/>
      <w:spacing w:after="200" w:before="300"/>
      <w:ind/>
      <w:contextualSpacing w:val="true"/>
    </w:pPr>
    <w:rPr>
      <w:sz w:val="48"/>
      <w:szCs w:val="48"/>
    </w:rPr>
  </w:style>
  <w:style w:type="character" w:styleId="35">
    <w:name w:val="Title Char"/>
    <w:basedOn w:val="11"/>
    <w:link w:val="34"/>
    <w:uiPriority w:val="10"/>
    <w:pPr>
      <w:pBdr/>
      <w:spacing/>
      <w:ind/>
    </w:pPr>
    <w:rPr>
      <w:sz w:val="48"/>
      <w:szCs w:val="48"/>
    </w:rPr>
  </w:style>
  <w:style w:type="paragraph" w:styleId="36">
    <w:name w:val="Subtitle"/>
    <w:basedOn w:val="737"/>
    <w:next w:val="737"/>
    <w:link w:val="37"/>
    <w:uiPriority w:val="11"/>
    <w:qFormat/>
    <w:pPr>
      <w:pBdr/>
      <w:spacing w:after="200" w:before="200"/>
      <w:ind/>
    </w:pPr>
    <w:rPr>
      <w:sz w:val="24"/>
      <w:szCs w:val="24"/>
    </w:rPr>
  </w:style>
  <w:style w:type="character" w:styleId="37">
    <w:name w:val="Subtitle Char"/>
    <w:basedOn w:val="11"/>
    <w:link w:val="36"/>
    <w:uiPriority w:val="11"/>
    <w:pPr>
      <w:pBdr/>
      <w:spacing/>
      <w:ind/>
    </w:pPr>
    <w:rPr>
      <w:sz w:val="24"/>
      <w:szCs w:val="24"/>
    </w:rPr>
  </w:style>
  <w:style w:type="paragraph" w:styleId="38">
    <w:name w:val="Quote"/>
    <w:basedOn w:val="737"/>
    <w:next w:val="737"/>
    <w:link w:val="39"/>
    <w:uiPriority w:val="29"/>
    <w:qFormat/>
    <w:pPr>
      <w:pBdr/>
      <w:spacing/>
      <w:ind w:right="720" w:left="720"/>
    </w:pPr>
    <w:rPr>
      <w:i/>
    </w:rPr>
  </w:style>
  <w:style w:type="character" w:styleId="39">
    <w:name w:val="Quote Char"/>
    <w:link w:val="38"/>
    <w:uiPriority w:val="29"/>
    <w:pPr>
      <w:pBdr/>
      <w:spacing/>
      <w:ind/>
    </w:pPr>
    <w:rPr>
      <w:i/>
    </w:rPr>
  </w:style>
  <w:style w:type="paragraph" w:styleId="40">
    <w:name w:val="Intense Quote"/>
    <w:basedOn w:val="737"/>
    <w:next w:val="737"/>
    <w:link w:val="41"/>
    <w:uiPriority w:val="30"/>
    <w:qFormat/>
    <w:pPr>
      <w:pBdr>
        <w:top w:val="single" w:color="ffffff" w:sz="4" w:space="5"/>
        <w:left w:val="single" w:color="ffffff" w:sz="4" w:space="10"/>
        <w:bottom w:val="single" w:color="ffffff" w:sz="4" w:space="5"/>
        <w:right w:val="single" w:color="ffffff" w:sz="4" w:space="10"/>
      </w:pBdr>
      <w:shd w:val="clear" w:color="auto" w:fill="f2f2f2"/>
      <w:spacing/>
      <w:ind w:right="720" w:left="720"/>
      <w:contextualSpacing w:val="false"/>
    </w:pPr>
    <w:rPr>
      <w:i/>
    </w:rPr>
  </w:style>
  <w:style w:type="character" w:styleId="41">
    <w:name w:val="Intense Quote Char"/>
    <w:link w:val="40"/>
    <w:uiPriority w:val="30"/>
    <w:pPr>
      <w:pBdr/>
      <w:spacing/>
      <w:ind/>
    </w:pPr>
    <w:rPr>
      <w:i/>
    </w:rPr>
  </w:style>
  <w:style w:type="paragraph" w:styleId="42">
    <w:name w:val="Header"/>
    <w:basedOn w:val="737"/>
    <w:link w:val="43"/>
    <w:uiPriority w:val="99"/>
    <w:unhideWhenUsed/>
    <w:pPr>
      <w:pBdr/>
      <w:tabs>
        <w:tab w:val="center" w:leader="none" w:pos="7143"/>
        <w:tab w:val="right" w:leader="none" w:pos="14287"/>
      </w:tabs>
      <w:spacing w:after="0" w:line="240" w:lineRule="auto"/>
      <w:ind/>
    </w:pPr>
  </w:style>
  <w:style w:type="character" w:styleId="43">
    <w:name w:val="Header Char"/>
    <w:basedOn w:val="11"/>
    <w:link w:val="42"/>
    <w:uiPriority w:val="99"/>
    <w:pPr>
      <w:pBdr/>
      <w:spacing/>
      <w:ind/>
    </w:pPr>
  </w:style>
  <w:style w:type="paragraph" w:styleId="44">
    <w:name w:val="Footer"/>
    <w:basedOn w:val="737"/>
    <w:link w:val="47"/>
    <w:uiPriority w:val="99"/>
    <w:unhideWhenUsed/>
    <w:pPr>
      <w:pBdr/>
      <w:tabs>
        <w:tab w:val="center" w:leader="none" w:pos="7143"/>
        <w:tab w:val="right" w:leader="none" w:pos="14287"/>
      </w:tabs>
      <w:spacing w:after="0" w:line="240" w:lineRule="auto"/>
      <w:ind/>
    </w:pPr>
  </w:style>
  <w:style w:type="character" w:styleId="45">
    <w:name w:val="Footer Char"/>
    <w:basedOn w:val="11"/>
    <w:link w:val="44"/>
    <w:uiPriority w:val="99"/>
    <w:pPr>
      <w:pBdr/>
      <w:spacing/>
      <w:ind/>
    </w:pPr>
  </w:style>
  <w:style w:type="paragraph" w:styleId="46">
    <w:name w:val="Caption"/>
    <w:basedOn w:val="737"/>
    <w:next w:val="737"/>
    <w:uiPriority w:val="35"/>
    <w:semiHidden/>
    <w:unhideWhenUsed/>
    <w:qFormat/>
    <w:pPr>
      <w:pBdr/>
      <w:spacing w:line="276" w:lineRule="auto"/>
      <w:ind/>
    </w:pPr>
    <w:rPr>
      <w:b/>
      <w:bCs/>
      <w:color w:val="4f81bd" w:themeColor="accent1"/>
      <w:sz w:val="18"/>
      <w:szCs w:val="18"/>
    </w:rPr>
  </w:style>
  <w:style w:type="character" w:styleId="47">
    <w:name w:val="Caption Char"/>
    <w:basedOn w:val="46"/>
    <w:link w:val="44"/>
    <w:uiPriority w:val="99"/>
    <w:pPr>
      <w:pBdr/>
      <w:spacing/>
      <w:ind/>
    </w:pPr>
  </w:style>
  <w:style w:type="table" w:styleId="48">
    <w:name w:val="Table Grid"/>
    <w:basedOn w:val="32"/>
    <w:uiPriority w:val="59"/>
    <w:pPr>
      <w:pBdr/>
      <w:spacing w:after="0" w:line="240" w:lineRule="auto"/>
      <w:ind/>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49">
    <w:name w:val="Table Grid Light"/>
    <w:basedOn w:val="32"/>
    <w:uiPriority w:val="59"/>
    <w:pPr>
      <w:pBdr/>
      <w:spacing w:after="0" w:line="240" w:lineRule="auto"/>
      <w:ind/>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0">
    <w:name w:val="Plain Table 1"/>
    <w:basedOn w:val="32"/>
    <w:uiPriority w:val="59"/>
    <w:pPr>
      <w:pBdr/>
      <w:spacing w:after="0" w:line="240" w:lineRule="auto"/>
      <w:ind/>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shd w:val="clear" w:color="ffffff" w:themeColor="text1" w:themeTint="0D" w:fill="f2f2f2" w:themeFill="text1" w:themeFillTint="0D"/>
        <w:tcBorders/>
      </w:tcPr>
    </w:tblStylePr>
    <w:tblStylePr w:type="band1Vert">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1">
    <w:name w:val="Plain Table 2"/>
    <w:basedOn w:val="32"/>
    <w:uiPriority w:val="59"/>
    <w:pPr>
      <w:pBdr/>
      <w:spacing w:after="0" w:line="240" w:lineRule="auto"/>
      <w:ind/>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cPr>
      <w:tcBorders/>
    </w:tcPr>
    <w:tblStylePr w:type="band1Horz">
      <w:pPr>
        <w:pBdr/>
        <w:spacing/>
        <w:ind/>
      </w:pPr>
      <w:tblPr>
        <w:tblBorders/>
      </w:tblPr>
      <w:tcPr>
        <w:tcBorders>
          <w:top w:val="single" w:color="000000" w:themeColor="text1" w:sz="4" w:space="0"/>
          <w:bottom w:val="single" w:color="000000" w:themeColor="text1" w:sz="4" w:space="0"/>
        </w:tcBorders>
      </w:tcPr>
    </w:tblStylePr>
    <w:tblStylePr w:type="band1Vert">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left w:val="single" w:color="000000" w:themeColor="text1" w:sz="4" w:space="0"/>
          <w:right w:val="single" w:color="000000" w:themeColor="text1" w:sz="4" w:space="0"/>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sz="4" w:space="0"/>
          <w:bottom w:val="single" w:color="000000" w:themeColor="text1"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2">
    <w:name w:val="Plain Table 3"/>
    <w:basedOn w:val="32"/>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aps/>
        <w:color w:val="404040"/>
      </w:rPr>
      <w:pPr>
        <w:pBdr/>
        <w:spacing/>
        <w:ind/>
      </w:pPr>
      <w:tblPr>
        <w:tblBorders/>
      </w:tbl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pPr>
        <w:pBdr/>
        <w:spacing/>
        <w:ind/>
      </w:pPr>
      <w:tblPr>
        <w:tblBorders/>
      </w:tbl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pPr>
        <w:pBdr/>
        <w:spacing/>
        <w:ind/>
      </w:pPr>
      <w:tblPr>
        <w:tblBorders/>
      </w:tblPr>
      <w:tcPr>
        <w:tcBorders/>
      </w:tcPr>
    </w:tblStylePr>
    <w:tblStylePr w:type="lastRow">
      <w:rPr>
        <w:b/>
        <w:caps/>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3">
    <w:name w:val="Plain Table 4"/>
    <w:basedOn w:val="32"/>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4">
    <w:name w:val="Plain Table 5"/>
    <w:basedOn w:val="32"/>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right w:val="single" w:color="404040" w:sz="4" w:space="0"/>
        </w:tcBorders>
      </w:tcPr>
    </w:tblStylePr>
    <w:tblStylePr w:type="firstRow">
      <w:rPr>
        <w:i/>
        <w:color w:val="404040"/>
      </w:rPr>
      <w:pPr>
        <w:pBdr/>
        <w:spacing/>
        <w:ind/>
      </w:pPr>
      <w:tblPr>
        <w:tblBorders/>
      </w:tblPr>
      <w:tcPr>
        <w:shd w:val="clear" w:color="ffffff"/>
        <w:tcBorders>
          <w:left w:val="none" w:color="000000" w:sz="4" w:space="0"/>
          <w:bottom w:val="single" w:color="404040" w:sz="4" w:space="0"/>
          <w:right w:val="none" w:color="000000" w:sz="4" w:space="0"/>
        </w:tcBorders>
      </w:tcPr>
    </w:tblStylePr>
    <w:tblStylePr w:type="lastCol">
      <w:rPr>
        <w:i/>
        <w:color w:val="404040"/>
      </w:rPr>
      <w:pPr>
        <w:pBdr/>
        <w:spacing/>
        <w:ind/>
      </w:pPr>
      <w:tblPr>
        <w:tblBorders/>
      </w:tblPr>
      <w:tcPr>
        <w:shd w:val="clear" w:color="ffffff"/>
        <w:tcBorders>
          <w:left w:val="single" w:color="404040" w:sz="4" w:space="0"/>
        </w:tcBorders>
      </w:tcPr>
    </w:tblStylePr>
    <w:tblStylePr w:type="lastRow">
      <w:rPr>
        <w:i/>
        <w:color w:val="404040"/>
      </w:rPr>
      <w:pPr>
        <w:pBdr/>
        <w:spacing/>
        <w:ind/>
      </w:pPr>
      <w:tblPr>
        <w:tblBorders/>
      </w:tblPr>
      <w:tcPr>
        <w:shd w:val="clear" w:color="ffffff"/>
        <w:tcBorders>
          <w:top w:val="single" w:color="404040" w:sz="4" w:space="0"/>
          <w:left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5">
    <w:name w:val="Grid Table 1 Light"/>
    <w:basedOn w:val="32"/>
    <w:uiPriority w:val="99"/>
    <w:pPr>
      <w:pBdr/>
      <w:spacing w:after="0" w:line="240" w:lineRule="auto"/>
      <w:ind/>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tex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6">
    <w:name w:val="Grid Table 1 Light - Accent 1"/>
    <w:basedOn w:val="32"/>
    <w:uiPriority w:val="99"/>
    <w:pPr>
      <w:pBdr/>
      <w:spacing w:after="0" w:line="240" w:lineRule="auto"/>
      <w:ind/>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7">
    <w:name w:val="Grid Table 1 Light - Accent 2"/>
    <w:basedOn w:val="32"/>
    <w:uiPriority w:val="99"/>
    <w:pPr>
      <w:pBdr/>
      <w:spacing w:after="0" w:line="240" w:lineRule="auto"/>
      <w:ind/>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2"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8">
    <w:name w:val="Grid Table 1 Light - Accent 3"/>
    <w:basedOn w:val="32"/>
    <w:uiPriority w:val="99"/>
    <w:pPr>
      <w:pBdr/>
      <w:spacing w:after="0" w:line="240" w:lineRule="auto"/>
      <w:ind/>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3"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9">
    <w:name w:val="Grid Table 1 Light - Accent 4"/>
    <w:basedOn w:val="32"/>
    <w:uiPriority w:val="99"/>
    <w:pPr>
      <w:pBdr/>
      <w:spacing w:after="0" w:line="240" w:lineRule="auto"/>
      <w:ind/>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4"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0">
    <w:name w:val="Grid Table 1 Light - Accent 5"/>
    <w:basedOn w:val="32"/>
    <w:uiPriority w:val="99"/>
    <w:pPr>
      <w:pBdr/>
      <w:spacing w:after="0" w:line="240" w:lineRule="auto"/>
      <w:ind/>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5"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1">
    <w:name w:val="Grid Table 1 Light - Accent 6"/>
    <w:basedOn w:val="32"/>
    <w:uiPriority w:val="99"/>
    <w:pPr>
      <w:pBdr/>
      <w:spacing w:after="0" w:line="240" w:lineRule="auto"/>
      <w:ind/>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6"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2">
    <w:name w:val="Grid Table 2"/>
    <w:basedOn w:val="32"/>
    <w:uiPriority w:val="99"/>
    <w:pPr>
      <w:pBdr/>
      <w:spacing w:after="0" w:line="240" w:lineRule="auto"/>
      <w:ind/>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text1" w:themeTint="9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3">
    <w:name w:val="Grid Table 2 - Accent 1"/>
    <w:basedOn w:val="32"/>
    <w:uiPriority w:val="99"/>
    <w:pPr>
      <w:pBdr/>
      <w:spacing w:after="0" w:line="240" w:lineRule="auto"/>
      <w:ind/>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cPr>
      <w:tcBorders/>
    </w:tcPr>
    <w:tblStylePr w:type="band1Horz">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1Vert">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1" w:themeTint="E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4">
    <w:name w:val="Grid Table 2 - Accent 2"/>
    <w:basedOn w:val="32"/>
    <w:uiPriority w:val="99"/>
    <w:pPr>
      <w:pBdr/>
      <w:spacing w:after="0" w:line="240" w:lineRule="auto"/>
      <w:ind/>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2" w:themeTint="97"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5">
    <w:name w:val="Grid Table 2 - Accent 3"/>
    <w:basedOn w:val="32"/>
    <w:uiPriority w:val="99"/>
    <w:pPr>
      <w:pBdr/>
      <w:spacing w:after="0" w:line="240" w:lineRule="auto"/>
      <w:ind/>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3" w:themeTint="FE"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6">
    <w:name w:val="Grid Table 2 - Accent 4"/>
    <w:basedOn w:val="32"/>
    <w:uiPriority w:val="99"/>
    <w:pPr>
      <w:pBdr/>
      <w:spacing w:after="0" w:line="240" w:lineRule="auto"/>
      <w:ind/>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4" w:themeTint="9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7">
    <w:name w:val="Grid Table 2 - Accent 5"/>
    <w:basedOn w:val="32"/>
    <w:uiPriority w:val="99"/>
    <w:pPr>
      <w:pBdr/>
      <w:spacing w:after="0" w:line="240" w:lineRule="auto"/>
      <w:ind/>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8">
    <w:name w:val="Grid Table 2 - Accent 6"/>
    <w:basedOn w:val="32"/>
    <w:uiPriority w:val="99"/>
    <w:pPr>
      <w:pBdr/>
      <w:spacing w:after="0" w:line="240" w:lineRule="auto"/>
      <w:ind/>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9">
    <w:name w:val="Grid Table 3"/>
    <w:basedOn w:val="32"/>
    <w:uiPriority w:val="99"/>
    <w:pPr>
      <w:pBdr/>
      <w:spacing w:after="0" w:line="240" w:lineRule="auto"/>
      <w:ind/>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0">
    <w:name w:val="Grid Table 3 - Accent 1"/>
    <w:basedOn w:val="32"/>
    <w:uiPriority w:val="99"/>
    <w:pPr>
      <w:pBdr/>
      <w:spacing w:after="0" w:line="240" w:lineRule="auto"/>
      <w:ind/>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cPr>
      <w:tcBorders/>
    </w:tcPr>
    <w:tblStylePr w:type="band1Horz">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1Vert">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1">
    <w:name w:val="Grid Table 3 - Accent 2"/>
    <w:basedOn w:val="32"/>
    <w:uiPriority w:val="99"/>
    <w:pPr>
      <w:pBdr/>
      <w:spacing w:after="0" w:line="240" w:lineRule="auto"/>
      <w:ind/>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2">
    <w:name w:val="Grid Table 3 - Accent 3"/>
    <w:basedOn w:val="32"/>
    <w:uiPriority w:val="99"/>
    <w:pPr>
      <w:pBdr/>
      <w:spacing w:after="0" w:line="240" w:lineRule="auto"/>
      <w:ind/>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3">
    <w:name w:val="Grid Table 3 - Accent 4"/>
    <w:basedOn w:val="32"/>
    <w:uiPriority w:val="99"/>
    <w:pPr>
      <w:pBdr/>
      <w:spacing w:after="0" w:line="240" w:lineRule="auto"/>
      <w:ind/>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4">
    <w:name w:val="Grid Table 3 - Accent 5"/>
    <w:basedOn w:val="32"/>
    <w:uiPriority w:val="99"/>
    <w:pPr>
      <w:pBdr/>
      <w:spacing w:after="0" w:line="240" w:lineRule="auto"/>
      <w:ind/>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
    <w:name w:val="Grid Table 3 - Accent 6"/>
    <w:basedOn w:val="32"/>
    <w:uiPriority w:val="99"/>
    <w:pPr>
      <w:pBdr/>
      <w:spacing w:after="0" w:line="240" w:lineRule="auto"/>
      <w:ind/>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
    <w:name w:val="Grid Table 4"/>
    <w:basedOn w:val="32"/>
    <w:uiPriority w:val="59"/>
    <w:pPr>
      <w:pBdr/>
      <w:spacing w:after="0" w:line="240" w:lineRule="auto"/>
      <w:ind/>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
    <w:name w:val="Grid Table 4 - Accent 1"/>
    <w:basedOn w:val="32"/>
    <w:uiPriority w:val="59"/>
    <w:pPr>
      <w:pBdr/>
      <w:spacing w:after="0" w:line="240" w:lineRule="auto"/>
      <w:ind/>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32" w:fill="dce6f1" w:themeFill="accent1" w:themeFillTint="32"/>
        <w:tcBorders/>
      </w:tcPr>
    </w:tblStylePr>
    <w:tblStylePr w:type="band1Vert">
      <w:rPr>
        <w:rFonts w:ascii="Arial" w:hAnsi="Arial"/>
        <w:color w:val="404040"/>
        <w:sz w:val="22"/>
      </w:rPr>
      <w:pPr>
        <w:pBdr/>
        <w:spacing/>
        <w:ind/>
      </w:pPr>
      <w:tblPr>
        <w:tblBorders/>
      </w:tblPr>
      <w:tcPr>
        <w:shd w:val="clear" w:color="ffffff" w:themeColor="accent1" w:themeTint="32" w:fill="dce6f1" w:themeFill="accent1"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1" w:themeTint="E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
    <w:name w:val="Grid Table 4 - Accent 2"/>
    <w:basedOn w:val="32"/>
    <w:uiPriority w:val="59"/>
    <w:pPr>
      <w:pBdr/>
      <w:spacing w:after="0" w:line="240" w:lineRule="auto"/>
      <w:ind/>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9">
    <w:name w:val="Grid Table 4 - Accent 3"/>
    <w:basedOn w:val="32"/>
    <w:uiPriority w:val="59"/>
    <w:pPr>
      <w:pBdr/>
      <w:spacing w:after="0" w:line="240" w:lineRule="auto"/>
      <w:ind/>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3" w:themeTint="FE"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
    <w:name w:val="Grid Table 4 - Accent 4"/>
    <w:basedOn w:val="32"/>
    <w:uiPriority w:val="59"/>
    <w:pPr>
      <w:pBdr/>
      <w:spacing w:after="0" w:line="240" w:lineRule="auto"/>
      <w:ind/>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
    <w:name w:val="Grid Table 4 - Accent 5"/>
    <w:basedOn w:val="32"/>
    <w:uiPriority w:val="59"/>
    <w:pPr>
      <w:pBdr/>
      <w:spacing w:after="0" w:line="240" w:lineRule="auto"/>
      <w:ind/>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5"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
    <w:name w:val="Grid Table 4 - Accent 6"/>
    <w:basedOn w:val="32"/>
    <w:uiPriority w:val="59"/>
    <w:pPr>
      <w:pBdr/>
      <w:spacing w:after="0" w:line="240" w:lineRule="auto"/>
      <w:ind/>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6"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3">
    <w:name w:val="Grid Table 5 Dark"/>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cPr>
      <w:tcBorders/>
    </w:tcPr>
    <w:tblStylePr w:type="band1Horz">
      <w:pPr>
        <w:pBdr/>
        <w:spacing/>
        <w:ind/>
      </w:pPr>
      <w:tblPr>
        <w:tblBorders/>
      </w:tblPr>
      <w:tcPr>
        <w:shd w:val="clear" w:color="ffffff" w:themeColor="text1" w:themeTint="75" w:fill="8a8a8a" w:themeFill="text1" w:themeFillTint="75"/>
        <w:tcBorders/>
      </w:tcPr>
    </w:tblStylePr>
    <w:tblStylePr w:type="band1Vert">
      <w:pPr>
        <w:pBdr/>
        <w:spacing/>
        <w:ind/>
      </w:pPr>
      <w:tblPr>
        <w:tblBorders/>
      </w:tblPr>
      <w:tcPr>
        <w:shd w:val="clear" w:color="ffffff" w:themeColor="text1" w:themeTint="75" w:fill="8a8a8a" w:themeFill="tex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text1" w:fill="000000" w:themeFill="text1"/>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rFonts w:ascii="Arial" w:hAnsi="Arial"/>
        <w:b/>
        <w:color w:val="ffffff"/>
        <w:sz w:val="22"/>
      </w:rPr>
      <w:pPr>
        <w:pBdr/>
        <w:spacing/>
        <w:ind/>
      </w:pPr>
      <w:tblPr>
        <w:tblBorders/>
      </w:tblPr>
      <w:tcPr>
        <w:shd w:val="clear" w:color="ffffff" w:themeColor="text1" w:fill="000000" w:themeFill="text1"/>
        <w:tcBorders/>
      </w:tcPr>
    </w:tblStylePr>
    <w:tblStylePr w:type="lastRow">
      <w:rPr>
        <w:rFonts w:ascii="Arial" w:hAnsi="Arial"/>
        <w:b/>
        <w:color w:val="ffffff"/>
        <w:sz w:val="22"/>
      </w:rPr>
      <w:pPr>
        <w:pBdr/>
        <w:spacing/>
        <w:ind/>
      </w:pPr>
      <w:tblPr>
        <w:tblBorders/>
      </w:tblPr>
      <w:tcPr>
        <w:shd w:val="clear" w:color="ffffff" w:themeColor="text1" w:fill="000000" w:themeFill="text1"/>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
    <w:name w:val="Grid Table 5 Dark- Accent 1"/>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cPr>
      <w:tcBorders/>
    </w:tcPr>
    <w:tblStylePr w:type="band1Horz">
      <w:pPr>
        <w:pBdr/>
        <w:spacing/>
        <w:ind/>
      </w:pPr>
      <w:tblPr>
        <w:tblBorders/>
      </w:tblPr>
      <w:tcPr>
        <w:shd w:val="clear" w:color="ffffff" w:themeColor="accent1" w:themeTint="75" w:fill="adc5e0" w:themeFill="accent1" w:themeFillTint="75"/>
        <w:tcBorders/>
      </w:tcPr>
    </w:tblStylePr>
    <w:tblStylePr w:type="band1Vert">
      <w:pPr>
        <w:pBdr/>
        <w:spacing/>
        <w:ind/>
      </w:pPr>
      <w:tblPr>
        <w:tblBorders/>
      </w:tblPr>
      <w:tcPr>
        <w:shd w:val="clear" w:color="ffffff" w:themeColor="accent1" w:themeTint="75" w:fill="adc5e0" w:themeFill="accen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1" w:fill="4f81bd" w:themeFill="accent1"/>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rFonts w:ascii="Arial" w:hAnsi="Arial"/>
        <w:b/>
        <w:color w:val="ffffff"/>
        <w:sz w:val="22"/>
      </w:rPr>
      <w:pPr>
        <w:pBdr/>
        <w:spacing/>
        <w:ind/>
      </w:pPr>
      <w:tblPr>
        <w:tblBorders/>
      </w:tblPr>
      <w:tcPr>
        <w:shd w:val="clear" w:color="ffffff" w:themeColor="accent1" w:fill="4f81bd" w:themeFill="accent1"/>
        <w:tcBorders/>
      </w:tcPr>
    </w:tblStylePr>
    <w:tblStylePr w:type="lastRow">
      <w:rPr>
        <w:rFonts w:ascii="Arial" w:hAnsi="Arial"/>
        <w:b/>
        <w:color w:val="ffffff"/>
        <w:sz w:val="22"/>
      </w:rPr>
      <w:pPr>
        <w:pBdr/>
        <w:spacing/>
        <w:ind/>
      </w:pPr>
      <w:tblPr>
        <w:tblBorders/>
      </w:tblPr>
      <w:tcPr>
        <w:shd w:val="clear" w:color="ffffff" w:themeColor="accent1" w:fill="4f81bd" w:themeFill="accent1"/>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5">
    <w:name w:val="Grid Table 5 Dark - Accent 2"/>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cPr>
      <w:tcBorders/>
    </w:tcPr>
    <w:tblStylePr w:type="band1Horz">
      <w:pPr>
        <w:pBdr/>
        <w:spacing/>
        <w:ind/>
      </w:pPr>
      <w:tblPr>
        <w:tblBorders/>
      </w:tblPr>
      <w:tcPr>
        <w:shd w:val="clear" w:color="ffffff" w:themeColor="accent2" w:themeTint="75" w:fill="e1adac" w:themeFill="accent2" w:themeFillTint="75"/>
        <w:tcBorders/>
      </w:tcPr>
    </w:tblStylePr>
    <w:tblStylePr w:type="band1Vert">
      <w:pPr>
        <w:pBdr/>
        <w:spacing/>
        <w:ind/>
      </w:pPr>
      <w:tblPr>
        <w:tblBorders/>
      </w:tblPr>
      <w:tcPr>
        <w:shd w:val="clear" w:color="ffffff" w:themeColor="accent2" w:themeTint="75" w:fill="e1adac" w:themeFill="accent2"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2" w:fill="c0504d" w:themeFill="accent2"/>
        <w:tcBorders/>
      </w:tcPr>
    </w:tblStylePr>
    <w:tblStylePr w:type="firstRow">
      <w:rPr>
        <w:rFonts w:ascii="Arial" w:hAnsi="Arial"/>
        <w:b/>
        <w:color w:val="ffffff"/>
        <w:sz w:val="22"/>
      </w:rPr>
      <w:pPr>
        <w:pBdr/>
        <w:spacing/>
        <w:ind/>
      </w:pPr>
      <w:tblPr>
        <w:tblBorders/>
      </w:tblPr>
      <w:tcPr>
        <w:shd w:val="clear" w:color="ffffff" w:themeColor="accent2" w:fill="c0504d" w:themeFill="accent2"/>
        <w:tcBorders/>
      </w:tcPr>
    </w:tblStylePr>
    <w:tblStylePr w:type="lastCol">
      <w:rPr>
        <w:rFonts w:ascii="Arial" w:hAnsi="Arial"/>
        <w:b/>
        <w:color w:val="ffffff"/>
        <w:sz w:val="22"/>
      </w:rPr>
      <w:pPr>
        <w:pBdr/>
        <w:spacing/>
        <w:ind/>
      </w:pPr>
      <w:tblPr>
        <w:tblBorders/>
      </w:tblPr>
      <w:tcPr>
        <w:shd w:val="clear" w:color="ffffff" w:themeColor="accent2" w:fill="c0504d" w:themeFill="accent2"/>
        <w:tcBorders/>
      </w:tcPr>
    </w:tblStylePr>
    <w:tblStylePr w:type="lastRow">
      <w:rPr>
        <w:rFonts w:ascii="Arial" w:hAnsi="Arial"/>
        <w:b/>
        <w:color w:val="ffffff"/>
        <w:sz w:val="22"/>
      </w:rPr>
      <w:pPr>
        <w:pBdr/>
        <w:spacing/>
        <w:ind/>
      </w:pPr>
      <w:tblPr>
        <w:tblBorders/>
      </w:tblPr>
      <w:tcPr>
        <w:shd w:val="clear" w:color="ffffff" w:themeColor="accent2" w:fill="c0504d" w:themeFill="accent2"/>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
    <w:name w:val="Grid Table 5 Dark - Accent 3"/>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cPr>
      <w:tcBorders/>
    </w:tcPr>
    <w:tblStylePr w:type="band1Horz">
      <w:pPr>
        <w:pBdr/>
        <w:spacing/>
        <w:ind/>
      </w:pPr>
      <w:tblPr>
        <w:tblBorders/>
      </w:tblPr>
      <w:tcPr>
        <w:shd w:val="clear" w:color="ffffff" w:themeColor="accent3" w:themeTint="75" w:fill="d1dfb2" w:themeFill="accent3" w:themeFillTint="75"/>
        <w:tcBorders/>
      </w:tcPr>
    </w:tblStylePr>
    <w:tblStylePr w:type="band1Vert">
      <w:pPr>
        <w:pBdr/>
        <w:spacing/>
        <w:ind/>
      </w:pPr>
      <w:tblPr>
        <w:tblBorders/>
      </w:tblPr>
      <w:tcPr>
        <w:shd w:val="clear" w:color="ffffff" w:themeColor="accent3" w:themeTint="75" w:fill="d1dfb2" w:themeFill="accent3"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3" w:fill="9bbb59" w:themeFill="accent3"/>
        <w:tcBorders/>
      </w:tcPr>
    </w:tblStylePr>
    <w:tblStylePr w:type="firstRow">
      <w:rPr>
        <w:rFonts w:ascii="Arial" w:hAnsi="Arial"/>
        <w:b/>
        <w:color w:val="ffffff"/>
        <w:sz w:val="22"/>
      </w:rPr>
      <w:pPr>
        <w:pBdr/>
        <w:spacing/>
        <w:ind/>
      </w:pPr>
      <w:tblPr>
        <w:tblBorders/>
      </w:tblPr>
      <w:tcPr>
        <w:shd w:val="clear" w:color="ffffff" w:themeColor="accent3" w:fill="9bbb59" w:themeFill="accent3"/>
        <w:tcBorders/>
      </w:tcPr>
    </w:tblStylePr>
    <w:tblStylePr w:type="lastCol">
      <w:rPr>
        <w:rFonts w:ascii="Arial" w:hAnsi="Arial"/>
        <w:b/>
        <w:color w:val="ffffff"/>
        <w:sz w:val="22"/>
      </w:rPr>
      <w:pPr>
        <w:pBdr/>
        <w:spacing/>
        <w:ind/>
      </w:pPr>
      <w:tblPr>
        <w:tblBorders/>
      </w:tblPr>
      <w:tcPr>
        <w:shd w:val="clear" w:color="ffffff" w:themeColor="accent3" w:fill="9bbb59" w:themeFill="accent3"/>
        <w:tcBorders/>
      </w:tcPr>
    </w:tblStylePr>
    <w:tblStylePr w:type="lastRow">
      <w:rPr>
        <w:rFonts w:ascii="Arial" w:hAnsi="Arial"/>
        <w:b/>
        <w:color w:val="ffffff"/>
        <w:sz w:val="22"/>
      </w:rPr>
      <w:pPr>
        <w:pBdr/>
        <w:spacing/>
        <w:ind/>
      </w:pPr>
      <w:tblPr>
        <w:tblBorders/>
      </w:tblPr>
      <w:tcPr>
        <w:shd w:val="clear" w:color="ffffff" w:themeColor="accent3" w:fill="9bbb59" w:themeFill="accent3"/>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7">
    <w:name w:val="Grid Table 5 Dark- Accent 4"/>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cPr>
      <w:tcBorders/>
    </w:tcPr>
    <w:tblStylePr w:type="band1Horz">
      <w:pPr>
        <w:pBdr/>
        <w:spacing/>
        <w:ind/>
      </w:pPr>
      <w:tblPr>
        <w:tblBorders/>
      </w:tblPr>
      <w:tcPr>
        <w:shd w:val="clear" w:color="ffffff" w:themeColor="accent4" w:themeTint="75" w:fill="c4b7d4" w:themeFill="accent4" w:themeFillTint="75"/>
        <w:tcBorders/>
      </w:tcPr>
    </w:tblStylePr>
    <w:tblStylePr w:type="band1Vert">
      <w:pPr>
        <w:pBdr/>
        <w:spacing/>
        <w:ind/>
      </w:pPr>
      <w:tblPr>
        <w:tblBorders/>
      </w:tblPr>
      <w:tcPr>
        <w:shd w:val="clear" w:color="ffffff" w:themeColor="accent4" w:themeTint="75" w:fill="c4b7d4" w:themeFill="accent4"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4" w:fill="8064a2" w:themeFill="accent4"/>
        <w:tcBorders/>
      </w:tcPr>
    </w:tblStylePr>
    <w:tblStylePr w:type="firstRow">
      <w:rPr>
        <w:rFonts w:ascii="Arial" w:hAnsi="Arial"/>
        <w:b/>
        <w:color w:val="ffffff"/>
        <w:sz w:val="22"/>
      </w:rPr>
      <w:pPr>
        <w:pBdr/>
        <w:spacing/>
        <w:ind/>
      </w:pPr>
      <w:tblPr>
        <w:tblBorders/>
      </w:tblPr>
      <w:tcPr>
        <w:shd w:val="clear" w:color="ffffff" w:themeColor="accent4" w:fill="8064a2" w:themeFill="accent4"/>
        <w:tcBorders/>
      </w:tcPr>
    </w:tblStylePr>
    <w:tblStylePr w:type="lastCol">
      <w:rPr>
        <w:rFonts w:ascii="Arial" w:hAnsi="Arial"/>
        <w:b/>
        <w:color w:val="ffffff"/>
        <w:sz w:val="22"/>
      </w:rPr>
      <w:pPr>
        <w:pBdr/>
        <w:spacing/>
        <w:ind/>
      </w:pPr>
      <w:tblPr>
        <w:tblBorders/>
      </w:tblPr>
      <w:tcPr>
        <w:shd w:val="clear" w:color="ffffff" w:themeColor="accent4" w:fill="8064a2" w:themeFill="accent4"/>
        <w:tcBorders/>
      </w:tcPr>
    </w:tblStylePr>
    <w:tblStylePr w:type="lastRow">
      <w:rPr>
        <w:rFonts w:ascii="Arial" w:hAnsi="Arial"/>
        <w:b/>
        <w:color w:val="ffffff"/>
        <w:sz w:val="22"/>
      </w:rPr>
      <w:pPr>
        <w:pBdr/>
        <w:spacing/>
        <w:ind/>
      </w:pPr>
      <w:tblPr>
        <w:tblBorders/>
      </w:tblPr>
      <w:tcPr>
        <w:shd w:val="clear" w:color="ffffff" w:themeColor="accent4" w:fill="8064a2" w:themeFill="accent4"/>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8">
    <w:name w:val="Grid Table 5 Dark - Accent 5"/>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cPr>
      <w:tcBorders/>
    </w:tcPr>
    <w:tblStylePr w:type="band1Horz">
      <w:pPr>
        <w:pBdr/>
        <w:spacing/>
        <w:ind/>
      </w:pPr>
      <w:tblPr>
        <w:tblBorders/>
      </w:tblPr>
      <w:tcPr>
        <w:shd w:val="clear" w:color="ffffff" w:themeColor="accent5" w:themeTint="75" w:fill="abd9e4" w:themeFill="accent5" w:themeFillTint="75"/>
        <w:tcBorders/>
      </w:tcPr>
    </w:tblStylePr>
    <w:tblStylePr w:type="band1Vert">
      <w:pPr>
        <w:pBdr/>
        <w:spacing/>
        <w:ind/>
      </w:pPr>
      <w:tblPr>
        <w:tblBorders/>
      </w:tblPr>
      <w:tcPr>
        <w:shd w:val="clear" w:color="ffffff" w:themeColor="accent5" w:themeTint="75" w:fill="abd9e4" w:themeFill="accent5"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5" w:fill="4bacc6" w:themeFill="accent5"/>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cPr>
    </w:tblStylePr>
    <w:tblStylePr w:type="lastCol">
      <w:rPr>
        <w:rFonts w:ascii="Arial" w:hAnsi="Arial"/>
        <w:b/>
        <w:color w:val="ffffff"/>
        <w:sz w:val="22"/>
      </w:rPr>
      <w:pPr>
        <w:pBdr/>
        <w:spacing/>
        <w:ind/>
      </w:pPr>
      <w:tblPr>
        <w:tblBorders/>
      </w:tblPr>
      <w:tcPr>
        <w:shd w:val="clear" w:color="ffffff" w:themeColor="accent5" w:fill="4bacc6" w:themeFill="accent5"/>
        <w:tcBorders/>
      </w:tcPr>
    </w:tblStylePr>
    <w:tblStylePr w:type="lastRow">
      <w:rPr>
        <w:rFonts w:ascii="Arial" w:hAnsi="Arial"/>
        <w:b/>
        <w:color w:val="ffffff"/>
        <w:sz w:val="22"/>
      </w:rPr>
      <w:pPr>
        <w:pBdr/>
        <w:spacing/>
        <w:ind/>
      </w:pPr>
      <w:tblPr>
        <w:tblBorders/>
      </w:tblPr>
      <w:tcPr>
        <w:shd w:val="clear" w:color="ffffff" w:themeColor="accent5" w:fill="4bacc6" w:themeFill="accent5"/>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9">
    <w:name w:val="Grid Table 5 Dark - Accent 6"/>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cPr>
      <w:tcBorders/>
    </w:tcPr>
    <w:tblStylePr w:type="band1Horz">
      <w:pPr>
        <w:pBdr/>
        <w:spacing/>
        <w:ind/>
      </w:pPr>
      <w:tblPr>
        <w:tblBorders/>
      </w:tblPr>
      <w:tcPr>
        <w:shd w:val="clear" w:color="ffffff" w:themeColor="accent6" w:themeTint="75" w:fill="fbcda8" w:themeFill="accent6" w:themeFillTint="75"/>
        <w:tcBorders/>
      </w:tcPr>
    </w:tblStylePr>
    <w:tblStylePr w:type="band1Vert">
      <w:pPr>
        <w:pBdr/>
        <w:spacing/>
        <w:ind/>
      </w:pPr>
      <w:tblPr>
        <w:tblBorders/>
      </w:tblPr>
      <w:tcPr>
        <w:shd w:val="clear" w:color="ffffff" w:themeColor="accent6" w:themeTint="75" w:fill="fbcda8" w:themeFill="accent6"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6" w:fill="f79646" w:themeFill="accent6"/>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cPr>
    </w:tblStylePr>
    <w:tblStylePr w:type="lastCol">
      <w:rPr>
        <w:rFonts w:ascii="Arial" w:hAnsi="Arial"/>
        <w:b/>
        <w:color w:val="ffffff"/>
        <w:sz w:val="22"/>
      </w:rPr>
      <w:pPr>
        <w:pBdr/>
        <w:spacing/>
        <w:ind/>
      </w:pPr>
      <w:tblPr>
        <w:tblBorders/>
      </w:tblPr>
      <w:tcPr>
        <w:shd w:val="clear" w:color="ffffff" w:themeColor="accent6" w:fill="f79646" w:themeFill="accent6"/>
        <w:tcBorders/>
      </w:tcPr>
    </w:tblStylePr>
    <w:tblStylePr w:type="lastRow">
      <w:rPr>
        <w:rFonts w:ascii="Arial" w:hAnsi="Arial"/>
        <w:b/>
        <w:color w:val="ffffff"/>
        <w:sz w:val="22"/>
      </w:rPr>
      <w:pPr>
        <w:pBdr/>
        <w:spacing/>
        <w:ind/>
      </w:pPr>
      <w:tblPr>
        <w:tblBorders/>
      </w:tblPr>
      <w:tcPr>
        <w:shd w:val="clear" w:color="ffffff" w:themeColor="accent6" w:fill="f79646" w:themeFill="accent6"/>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0">
    <w:name w:val="Grid Table 6 Colorful"/>
    <w:basedOn w:val="32"/>
    <w:uiPriority w:val="99"/>
    <w:pPr>
      <w:pBdr/>
      <w:spacing w:after="0" w:line="240" w:lineRule="auto"/>
      <w:ind/>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cPr>
      <w:tcBorders/>
    </w:tcPr>
    <w:tblStylePr w:type="band1Horz">
      <w:rPr>
        <w:rFonts w:ascii="Arial" w:hAnsi="Arial"/>
        <w:color w:val="404040" w:themeColor="text1" w:themeTint="80" w:themeShade="95"/>
        <w:sz w:val="22"/>
      </w:rPr>
      <w:pPr>
        <w:pBdr/>
        <w:spacing/>
        <w:ind/>
      </w:pPr>
      <w:tblPr>
        <w:tblBorders/>
      </w:tblPr>
      <w:tcPr>
        <w:shd w:val="clear" w:color="ffffff" w:themeColor="text1" w:themeTint="34" w:fill="cbcbcb" w:themeFill="text1" w:themeFillTint="34"/>
        <w:tcBorders/>
      </w:tcPr>
    </w:tblStylePr>
    <w:tblStylePr w:type="band1Vert">
      <w:pPr>
        <w:pBdr/>
        <w:spacing/>
        <w:ind/>
      </w:pPr>
      <w:tblPr>
        <w:tblBorders/>
      </w:tblPr>
      <w:tcPr>
        <w:shd w:val="clear" w:color="ffffff" w:themeColor="text1" w:themeTint="34" w:fill="cbcbcb" w:themeFill="text1" w:themeFillTint="34"/>
        <w:tcBorders/>
      </w:tcPr>
    </w:tblStylePr>
    <w:tblStylePr w:type="band2Horz">
      <w:rPr>
        <w:rFonts w:ascii="Arial" w:hAnsi="Arial"/>
        <w:color w:val="404040"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4a4a4a" w:themeColor="text1" w:themeTint="80" w:themeShade="95"/>
      </w:rPr>
      <w:pPr>
        <w:pBdr/>
        <w:spacing/>
        <w:ind/>
      </w:pPr>
      <w:tblPr>
        <w:tblBorders/>
      </w:tblPr>
      <w:tcPr>
        <w:tcBorders/>
      </w:tcPr>
    </w:tblStylePr>
    <w:tblStylePr w:type="firstRow">
      <w:rPr>
        <w:b/>
        <w:color w:val="4a4a4a" w:themeColor="text1" w:themeTint="80" w:themeShade="95"/>
      </w:rPr>
      <w:pPr>
        <w:pBdr/>
        <w:spacing/>
        <w:ind/>
      </w:pPr>
      <w:tblPr>
        <w:tblBorders/>
      </w:tblPr>
      <w:tcPr>
        <w:tcBorders>
          <w:bottom w:val="single" w:color="000000" w:themeColor="text1" w:themeTint="80" w:sz="12" w:space="0"/>
        </w:tcBorders>
      </w:tcPr>
    </w:tblStylePr>
    <w:tblStylePr w:type="lastCol">
      <w:rPr>
        <w:b/>
        <w:color w:val="4a4a4a" w:themeColor="text1" w:themeTint="80" w:themeShade="95"/>
      </w:rPr>
      <w:pPr>
        <w:pBdr/>
        <w:spacing/>
        <w:ind/>
      </w:pPr>
      <w:tblPr>
        <w:tblBorders/>
      </w:tblPr>
      <w:tcPr>
        <w:tcBorders/>
      </w:tcPr>
    </w:tblStylePr>
    <w:tblStylePr w:type="lastRow">
      <w:rPr>
        <w:b/>
        <w:color w:val="4a4a4a" w:themeColor="tex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text1" w:themeTint="80" w:themeShade="95"/>
        <w:sz w:val="22"/>
      </w:rPr>
      <w:pPr>
        <w:pBdr/>
        <w:spacing/>
        <w:ind/>
      </w:pPr>
      <w:tblPr>
        <w:tblBorders/>
      </w:tblPr>
      <w:tcPr>
        <w:tcBorders/>
      </w:tcPr>
    </w:tblStylePr>
  </w:style>
  <w:style w:type="table" w:styleId="91">
    <w:name w:val="Grid Table 6 Colorful - Accent 1"/>
    <w:basedOn w:val="32"/>
    <w:uiPriority w:val="99"/>
    <w:pPr>
      <w:pBdr/>
      <w:spacing w:after="0" w:line="240" w:lineRule="auto"/>
      <w:ind/>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cPr>
      <w:tcBorders/>
    </w:tcPr>
    <w:tblStylePr w:type="band1Horz">
      <w:rPr>
        <w:rFonts w:ascii="Arial" w:hAnsi="Arial"/>
        <w:color w:val="404040" w:themeColor="accent1" w:themeTint="80" w:themeShade="95"/>
        <w:sz w:val="22"/>
      </w:rPr>
      <w:pPr>
        <w:pBdr/>
        <w:spacing/>
        <w:ind/>
      </w:pPr>
      <w:tblPr>
        <w:tblBorders/>
      </w:tblPr>
      <w:tcPr>
        <w:shd w:val="clear" w:color="ffffff" w:themeColor="accent1" w:themeTint="34" w:fill="dae5f1" w:themeFill="accent1" w:themeFillTint="34"/>
        <w:tcBorders/>
      </w:tcPr>
    </w:tblStylePr>
    <w:tblStylePr w:type="band1Vert">
      <w:pPr>
        <w:pBdr/>
        <w:spacing/>
        <w:ind/>
      </w:pPr>
      <w:tblPr>
        <w:tblBorders/>
      </w:tblPr>
      <w:tcPr>
        <w:shd w:val="clear" w:color="ffffff" w:themeColor="accent1" w:themeTint="34" w:fill="dae5f1" w:themeFill="accent1" w:themeFillTint="34"/>
        <w:tcBorders/>
      </w:tcPr>
    </w:tblStylePr>
    <w:tblStylePr w:type="band2Horz">
      <w:rPr>
        <w:rFonts w:ascii="Arial" w:hAnsi="Arial"/>
        <w:color w:val="404040"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3e70a3" w:themeColor="accent1" w:themeTint="80" w:themeShade="95"/>
      </w:rPr>
      <w:pPr>
        <w:pBdr/>
        <w:spacing/>
        <w:ind/>
      </w:pPr>
      <w:tblPr>
        <w:tblBorders/>
      </w:tblPr>
      <w:tcPr>
        <w:tcBorders/>
      </w:tcPr>
    </w:tblStylePr>
    <w:tblStylePr w:type="firstRow">
      <w:rPr>
        <w:b/>
        <w:color w:val="3e70a3" w:themeColor="accent1" w:themeTint="80" w:themeShade="95"/>
      </w:rPr>
      <w:pPr>
        <w:pBdr/>
        <w:spacing/>
        <w:ind/>
      </w:pPr>
      <w:tblPr>
        <w:tblBorders/>
      </w:tblPr>
      <w:tcPr>
        <w:tcBorders>
          <w:bottom w:val="single" w:color="000000" w:themeColor="accent1" w:themeTint="80" w:sz="12" w:space="0"/>
        </w:tcBorders>
      </w:tcPr>
    </w:tblStylePr>
    <w:tblStylePr w:type="lastCol">
      <w:rPr>
        <w:b/>
        <w:color w:val="3e70a3" w:themeColor="accent1" w:themeTint="80" w:themeShade="95"/>
      </w:rPr>
      <w:pPr>
        <w:pBdr/>
        <w:spacing/>
        <w:ind/>
      </w:pPr>
      <w:tblPr>
        <w:tblBorders/>
      </w:tblPr>
      <w:tcPr>
        <w:tcBorders/>
      </w:tcPr>
    </w:tblStylePr>
    <w:tblStylePr w:type="lastRow">
      <w:rPr>
        <w:b/>
        <w:color w:val="3e70a3" w:themeColor="accen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1" w:themeTint="80" w:themeShade="95"/>
        <w:sz w:val="22"/>
      </w:rPr>
      <w:pPr>
        <w:pBdr/>
        <w:spacing/>
        <w:ind/>
      </w:pPr>
      <w:tblPr>
        <w:tblBorders/>
      </w:tblPr>
      <w:tcPr>
        <w:tcBorders/>
      </w:tcPr>
    </w:tblStylePr>
  </w:style>
  <w:style w:type="table" w:styleId="92">
    <w:name w:val="Grid Table 6 Colorful - Accent 2"/>
    <w:basedOn w:val="32"/>
    <w:uiPriority w:val="99"/>
    <w:pPr>
      <w:pBdr/>
      <w:spacing w:after="0" w:line="240" w:lineRule="auto"/>
      <w:ind/>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themeColor="accent2" w:themeTint="97" w:themeShade="95"/>
        <w:sz w:val="22"/>
      </w:rPr>
      <w:pPr>
        <w:pBdr/>
        <w:spacing/>
        <w:ind/>
      </w:pPr>
      <w:tblPr>
        <w:tblBorders/>
      </w:tblPr>
      <w:tcPr>
        <w:shd w:val="clear" w:color="ffffff" w:themeColor="accent2" w:themeTint="32" w:fill="f2dcdb" w:themeFill="accent2" w:themeFillTint="32"/>
        <w:tcBorders/>
      </w:tcPr>
    </w:tblStylePr>
    <w:tblStylePr w:type="band1Vert">
      <w:pPr>
        <w:pBdr/>
        <w:spacing/>
        <w:ind/>
      </w:pPr>
      <w:tblPr>
        <w:tblBorders/>
      </w:tblPr>
      <w:tcPr>
        <w:shd w:val="clear" w:color="ffffff" w:themeColor="accent2" w:themeTint="32" w:fill="f2dcdb" w:themeFill="accent2" w:themeFillTint="32"/>
        <w:tcBorders/>
      </w:tcPr>
    </w:tblStylePr>
    <w:tblStylePr w:type="band2Horz">
      <w:rPr>
        <w:rFonts w:ascii="Arial" w:hAnsi="Arial"/>
        <w:color w:val="404040"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9c3a37" w:themeColor="accent2" w:themeTint="97" w:themeShade="95"/>
      </w:rPr>
      <w:pPr>
        <w:pBdr/>
        <w:spacing/>
        <w:ind/>
      </w:pPr>
      <w:tblPr>
        <w:tblBorders/>
      </w:tblPr>
      <w:tcPr>
        <w:tcBorders/>
      </w:tcPr>
    </w:tblStylePr>
    <w:tblStylePr w:type="firstRow">
      <w:rPr>
        <w:b/>
        <w:color w:val="9c3a37" w:themeColor="accent2" w:themeTint="97" w:themeShade="95"/>
      </w:rPr>
      <w:pPr>
        <w:pBdr/>
        <w:spacing/>
        <w:ind/>
      </w:pPr>
      <w:tblPr>
        <w:tblBorders/>
      </w:tblPr>
      <w:tcPr>
        <w:tcBorders>
          <w:bottom w:val="single" w:color="000000" w:themeColor="accent2" w:themeTint="97" w:sz="12" w:space="0"/>
        </w:tcBorders>
      </w:tcPr>
    </w:tblStylePr>
    <w:tblStylePr w:type="lastCol">
      <w:rPr>
        <w:b/>
        <w:color w:val="9c3a37" w:themeColor="accent2" w:themeTint="97" w:themeShade="95"/>
      </w:rPr>
      <w:pPr>
        <w:pBdr/>
        <w:spacing/>
        <w:ind/>
      </w:pPr>
      <w:tblPr>
        <w:tblBorders/>
      </w:tblPr>
      <w:tcPr>
        <w:tcBorders/>
      </w:tcPr>
    </w:tblStylePr>
    <w:tblStylePr w:type="lastRow">
      <w:rPr>
        <w:b/>
        <w:color w:val="9c3a37" w:themeColor="accent2" w:themeTint="97"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2" w:themeTint="97" w:themeShade="95"/>
        <w:sz w:val="22"/>
      </w:rPr>
      <w:pPr>
        <w:pBdr/>
        <w:spacing/>
        <w:ind/>
      </w:pPr>
      <w:tblPr>
        <w:tblBorders/>
      </w:tblPr>
      <w:tcPr>
        <w:tcBorders/>
      </w:tcPr>
    </w:tblStylePr>
  </w:style>
  <w:style w:type="table" w:styleId="93">
    <w:name w:val="Grid Table 6 Colorful - Accent 3"/>
    <w:basedOn w:val="32"/>
    <w:uiPriority w:val="99"/>
    <w:pPr>
      <w:pBdr/>
      <w:spacing w:after="0" w:line="240" w:lineRule="auto"/>
      <w:ind/>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themeColor="accent3" w:themeTint="FE" w:themeShade="95"/>
        <w:sz w:val="22"/>
      </w:rPr>
      <w:pPr>
        <w:pBdr/>
        <w:spacing/>
        <w:ind/>
      </w:pPr>
      <w:tblPr>
        <w:tblBorders/>
      </w:tblPr>
      <w:tcPr>
        <w:shd w:val="clear" w:color="ffffff" w:themeColor="accent3" w:themeTint="34" w:fill="eaf0dd" w:themeFill="accent3" w:themeFillTint="34"/>
        <w:tcBorders/>
      </w:tcPr>
    </w:tblStylePr>
    <w:tblStylePr w:type="band1Vert">
      <w:pPr>
        <w:pBdr/>
        <w:spacing/>
        <w:ind/>
      </w:pPr>
      <w:tblPr>
        <w:tblBorders/>
      </w:tblPr>
      <w:tcPr>
        <w:shd w:val="clear" w:color="ffffff" w:themeColor="accent3" w:themeTint="34" w:fill="eaf0dd" w:themeFill="accent3" w:themeFillTint="34"/>
        <w:tcBorders/>
      </w:tcPr>
    </w:tblStylePr>
    <w:tblStylePr w:type="band2Horz">
      <w:rPr>
        <w:rFonts w:ascii="Arial" w:hAnsi="Arial"/>
        <w:color w:val="404040"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5c702f" w:themeColor="accent3" w:themeTint="FE" w:themeShade="95"/>
      </w:rPr>
      <w:pPr>
        <w:pBdr/>
        <w:spacing/>
        <w:ind/>
      </w:pPr>
      <w:tblPr>
        <w:tblBorders/>
      </w:tblPr>
      <w:tcPr>
        <w:tcBorders/>
      </w:tcPr>
    </w:tblStylePr>
    <w:tblStylePr w:type="firstRow">
      <w:rPr>
        <w:b/>
        <w:color w:val="5c702f" w:themeColor="accent3" w:themeTint="FE" w:themeShade="95"/>
      </w:rPr>
      <w:pPr>
        <w:pBdr/>
        <w:spacing/>
        <w:ind/>
      </w:pPr>
      <w:tblPr>
        <w:tblBorders/>
      </w:tblPr>
      <w:tcPr>
        <w:tcBorders>
          <w:bottom w:val="single" w:color="000000" w:themeColor="accent3" w:themeTint="FE" w:sz="12" w:space="0"/>
        </w:tcBorders>
      </w:tcPr>
    </w:tblStylePr>
    <w:tblStylePr w:type="lastCol">
      <w:rPr>
        <w:b/>
        <w:color w:val="5c702f" w:themeColor="accent3" w:themeTint="FE" w:themeShade="95"/>
      </w:rPr>
      <w:pPr>
        <w:pBdr/>
        <w:spacing/>
        <w:ind/>
      </w:pPr>
      <w:tblPr>
        <w:tblBorders/>
      </w:tblPr>
      <w:tcPr>
        <w:tcBorders/>
      </w:tcPr>
    </w:tblStylePr>
    <w:tblStylePr w:type="lastRow">
      <w:rPr>
        <w:b/>
        <w:color w:val="5c702f" w:themeColor="accent3" w:themeTint="FE"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3" w:themeTint="FE" w:themeShade="95"/>
        <w:sz w:val="22"/>
      </w:rPr>
      <w:pPr>
        <w:pBdr/>
        <w:spacing/>
        <w:ind/>
      </w:pPr>
      <w:tblPr>
        <w:tblBorders/>
      </w:tblPr>
      <w:tcPr>
        <w:tcBorders/>
      </w:tcPr>
    </w:tblStylePr>
  </w:style>
  <w:style w:type="table" w:styleId="94">
    <w:name w:val="Grid Table 6 Colorful - Accent 4"/>
    <w:basedOn w:val="32"/>
    <w:uiPriority w:val="99"/>
    <w:pPr>
      <w:pBdr/>
      <w:spacing w:after="0" w:line="240" w:lineRule="auto"/>
      <w:ind/>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themeColor="accent4" w:themeTint="9A" w:themeShade="95"/>
        <w:sz w:val="22"/>
      </w:rPr>
      <w:pPr>
        <w:pBdr/>
        <w:spacing/>
        <w:ind/>
      </w:pPr>
      <w:tblPr>
        <w:tblBorders/>
      </w:tblPr>
      <w:tcPr>
        <w:shd w:val="clear" w:color="ffffff" w:themeColor="accent4" w:themeTint="34" w:fill="e5dfec" w:themeFill="accent4" w:themeFillTint="34"/>
        <w:tcBorders/>
      </w:tcPr>
    </w:tblStylePr>
    <w:tblStylePr w:type="band1Vert">
      <w:pPr>
        <w:pBdr/>
        <w:spacing/>
        <w:ind/>
      </w:pPr>
      <w:tblPr>
        <w:tblBorders/>
      </w:tblPr>
      <w:tcPr>
        <w:shd w:val="clear" w:color="ffffff" w:themeColor="accent4" w:themeTint="34" w:fill="e5dfec" w:themeFill="accent4" w:themeFillTint="34"/>
        <w:tcBorders/>
      </w:tcPr>
    </w:tblStylePr>
    <w:tblStylePr w:type="band2Horz">
      <w:rPr>
        <w:rFonts w:ascii="Arial" w:hAnsi="Arial"/>
        <w:color w:val="40404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664f82" w:themeColor="accent4" w:themeTint="9A" w:themeShade="95"/>
      </w:rPr>
      <w:pPr>
        <w:pBdr/>
        <w:spacing/>
        <w:ind/>
      </w:pPr>
      <w:tblPr>
        <w:tblBorders/>
      </w:tblPr>
      <w:tcPr>
        <w:tcBorders/>
      </w:tcPr>
    </w:tblStylePr>
    <w:tblStylePr w:type="firstRow">
      <w:rPr>
        <w:b/>
        <w:color w:val="664f82" w:themeColor="accent4" w:themeTint="9A" w:themeShade="95"/>
      </w:rPr>
      <w:pPr>
        <w:pBdr/>
        <w:spacing/>
        <w:ind/>
      </w:pPr>
      <w:tblPr>
        <w:tblBorders/>
      </w:tblPr>
      <w:tcPr>
        <w:tcBorders>
          <w:bottom w:val="single" w:color="000000" w:themeColor="accent4" w:themeTint="9A" w:sz="12" w:space="0"/>
        </w:tcBorders>
      </w:tcPr>
    </w:tblStylePr>
    <w:tblStylePr w:type="lastCol">
      <w:rPr>
        <w:b/>
        <w:color w:val="664f82" w:themeColor="accent4" w:themeTint="9A" w:themeShade="95"/>
      </w:rPr>
      <w:pPr>
        <w:pBdr/>
        <w:spacing/>
        <w:ind/>
      </w:pPr>
      <w:tblPr>
        <w:tblBorders/>
      </w:tblPr>
      <w:tcPr>
        <w:tcBorders/>
      </w:tcPr>
    </w:tblStylePr>
    <w:tblStylePr w:type="lastRow">
      <w:rPr>
        <w:b/>
        <w:color w:val="664f82" w:themeColor="accent4" w:themeTint="9A"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4" w:themeTint="9A" w:themeShade="95"/>
        <w:sz w:val="22"/>
      </w:rPr>
      <w:pPr>
        <w:pBdr/>
        <w:spacing/>
        <w:ind/>
      </w:pPr>
      <w:tblPr>
        <w:tblBorders/>
      </w:tblPr>
      <w:tcPr>
        <w:tcBorders/>
      </w:tcPr>
    </w:tblStylePr>
  </w:style>
  <w:style w:type="table" w:styleId="95">
    <w:name w:val="Grid Table 6 Colorful - Accent 5"/>
    <w:basedOn w:val="32"/>
    <w:uiPriority w:val="99"/>
    <w:pPr>
      <w:pBdr/>
      <w:spacing w:after="0" w:line="240" w:lineRule="auto"/>
      <w:ind/>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themeColor="accent5" w:themeShade="95"/>
        <w:sz w:val="22"/>
      </w:rPr>
      <w:pPr>
        <w:pBdr/>
        <w:spacing/>
        <w:ind/>
      </w:pPr>
      <w:tblPr>
        <w:tblBorders/>
      </w:tblPr>
      <w:tcPr>
        <w:shd w:val="clear" w:color="ffffff" w:themeColor="accent5" w:themeTint="34" w:fill="daeef3" w:themeFill="accent5" w:themeFillTint="34"/>
        <w:tcBorders/>
      </w:tcPr>
    </w:tblStylePr>
    <w:tblStylePr w:type="band1Vert">
      <w:pPr>
        <w:pBdr/>
        <w:spacing/>
        <w:ind/>
      </w:pPr>
      <w:tblPr>
        <w:tblBorders/>
      </w:tblPr>
      <w:tcPr>
        <w:shd w:val="clear" w:color="ffffff" w:themeColor="accent5" w:themeTint="34" w:fill="daeef3" w:themeFill="accent5" w:themeFillTint="34"/>
        <w:tcBorders/>
      </w:tcPr>
    </w:tblStylePr>
    <w:tblStylePr w:type="band2Horz">
      <w:rPr>
        <w:rFonts w:ascii="Arial" w:hAnsi="Arial"/>
        <w:color w:val="404040"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66777" w:themeColor="accent5" w:themeShade="95"/>
      </w:rPr>
      <w:pPr>
        <w:pBdr/>
        <w:spacing/>
        <w:ind/>
      </w:pPr>
      <w:tblPr>
        <w:tblBorders/>
      </w:tblPr>
      <w:tcPr>
        <w:tcBorders/>
      </w:tcPr>
    </w:tblStylePr>
    <w:tblStylePr w:type="firstRow">
      <w:rPr>
        <w:b/>
        <w:color w:val="266777" w:themeColor="accent5" w:themeShade="95"/>
      </w:rPr>
      <w:pPr>
        <w:pBdr/>
        <w:spacing/>
        <w:ind/>
      </w:pPr>
      <w:tblPr>
        <w:tblBorders/>
      </w:tblPr>
      <w:tcPr>
        <w:tcBorders>
          <w:bottom w:val="single" w:color="000000" w:themeColor="accent5" w:sz="12" w:space="0"/>
        </w:tcBorders>
      </w:tcPr>
    </w:tblStylePr>
    <w:tblStylePr w:type="lastCol">
      <w:rPr>
        <w:b/>
        <w:color w:val="266777" w:themeColor="accent5" w:themeShade="95"/>
      </w:rPr>
      <w:pPr>
        <w:pBdr/>
        <w:spacing/>
        <w:ind/>
      </w:pPr>
      <w:tblPr>
        <w:tblBorders/>
      </w:tblPr>
      <w:tcPr>
        <w:tcBorders/>
      </w:tcPr>
    </w:tblStylePr>
    <w:tblStylePr w:type="lastRow">
      <w:rPr>
        <w:b/>
        <w:color w:val="266777"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5" w:themeShade="95"/>
        <w:sz w:val="22"/>
      </w:rPr>
      <w:pPr>
        <w:pBdr/>
        <w:spacing/>
        <w:ind/>
      </w:pPr>
      <w:tblPr>
        <w:tblBorders/>
      </w:tblPr>
      <w:tcPr>
        <w:tcBorders/>
      </w:tcPr>
    </w:tblStylePr>
  </w:style>
  <w:style w:type="table" w:styleId="96">
    <w:name w:val="Grid Table 6 Colorful - Accent 6"/>
    <w:basedOn w:val="32"/>
    <w:uiPriority w:val="99"/>
    <w:pPr>
      <w:pBdr/>
      <w:spacing w:after="0" w:line="240" w:lineRule="auto"/>
      <w:ind/>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themeColor="accent5" w:themeShade="95"/>
        <w:sz w:val="22"/>
      </w:rPr>
      <w:pPr>
        <w:pBdr/>
        <w:spacing/>
        <w:ind/>
      </w:pPr>
      <w:tblPr>
        <w:tblBorders/>
      </w:tblPr>
      <w:tcPr>
        <w:shd w:val="clear" w:color="ffffff" w:themeColor="accent6" w:themeTint="34" w:fill="fde9d8" w:themeFill="accent6" w:themeFillTint="34"/>
        <w:tcBorders/>
      </w:tcPr>
    </w:tblStylePr>
    <w:tblStylePr w:type="band1Vert">
      <w:pPr>
        <w:pBdr/>
        <w:spacing/>
        <w:ind/>
      </w:pPr>
      <w:tblPr>
        <w:tblBorders/>
      </w:tblPr>
      <w:tcPr>
        <w:shd w:val="clear" w:color="ffffff" w:themeColor="accent6" w:themeTint="34" w:fill="fde9d8" w:themeFill="accent6" w:themeFillTint="34"/>
        <w:tcBorders/>
      </w:tcPr>
    </w:tblStylePr>
    <w:tblStylePr w:type="band2Horz">
      <w:rPr>
        <w:rFonts w:ascii="Arial" w:hAnsi="Arial"/>
        <w:color w:val="404040"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66777" w:themeColor="accent5" w:themeShade="95"/>
      </w:rPr>
      <w:pPr>
        <w:pBdr/>
        <w:spacing/>
        <w:ind/>
      </w:pPr>
      <w:tblPr>
        <w:tblBorders/>
      </w:tblPr>
      <w:tcPr>
        <w:tcBorders/>
      </w:tcPr>
    </w:tblStylePr>
    <w:tblStylePr w:type="firstRow">
      <w:rPr>
        <w:b/>
        <w:color w:val="266777" w:themeColor="accent5" w:themeShade="95"/>
      </w:rPr>
      <w:pPr>
        <w:pBdr/>
        <w:spacing/>
        <w:ind/>
      </w:pPr>
      <w:tblPr>
        <w:tblBorders/>
      </w:tblPr>
      <w:tcPr>
        <w:tcBorders>
          <w:bottom w:val="single" w:color="000000" w:themeColor="accent6" w:sz="12" w:space="0"/>
        </w:tcBorders>
      </w:tcPr>
    </w:tblStylePr>
    <w:tblStylePr w:type="lastCol">
      <w:rPr>
        <w:b/>
        <w:color w:val="266777" w:themeColor="accent5" w:themeShade="95"/>
      </w:rPr>
      <w:pPr>
        <w:pBdr/>
        <w:spacing/>
        <w:ind/>
      </w:pPr>
      <w:tblPr>
        <w:tblBorders/>
      </w:tblPr>
      <w:tcPr>
        <w:tcBorders/>
      </w:tcPr>
    </w:tblStylePr>
    <w:tblStylePr w:type="lastRow">
      <w:rPr>
        <w:b/>
        <w:color w:val="266777"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5" w:themeShade="95"/>
        <w:sz w:val="22"/>
      </w:rPr>
      <w:pPr>
        <w:pBdr/>
        <w:spacing/>
        <w:ind/>
      </w:pPr>
      <w:tblPr>
        <w:tblBorders/>
      </w:tblPr>
      <w:tcPr>
        <w:tcBorders/>
      </w:tcPr>
    </w:tblStylePr>
  </w:style>
  <w:style w:type="table" w:styleId="97">
    <w:name w:val="Grid Table 7 Colorful"/>
    <w:basedOn w:val="32"/>
    <w:uiPriority w:val="99"/>
    <w:pPr>
      <w:pBdr/>
      <w:spacing w:after="0" w:line="240" w:lineRule="auto"/>
      <w:ind/>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cPr>
      <w:tcBorders/>
    </w:tcPr>
    <w:tblStylePr w:type="band1Horz">
      <w:rPr>
        <w:rFonts w:ascii="Arial" w:hAnsi="Arial"/>
        <w:color w:val="4a4a4a" w:themeColor="text1" w:themeTint="80" w:themeShade="95"/>
        <w:sz w:val="22"/>
      </w:rPr>
      <w:pPr>
        <w:pBdr/>
        <w:spacing/>
        <w:ind/>
      </w:pPr>
      <w:tblPr>
        <w:tblBorders/>
      </w:tblPr>
      <w:tcPr>
        <w:shd w:val="clear" w:color="ffffff" w:themeColor="text1" w:themeTint="0D" w:fill="f2f2f2" w:themeFill="text1" w:themeFillTint="0D"/>
        <w:tcBorders/>
      </w:tcPr>
    </w:tblStylePr>
    <w:tblStylePr w:type="band1Vert">
      <w:pPr>
        <w:pBdr/>
        <w:spacing/>
        <w:ind/>
      </w:pPr>
      <w:tblPr>
        <w:tblBorders/>
      </w:tblPr>
      <w:tcPr>
        <w:shd w:val="clear" w:color="ffffff" w:themeColor="text1" w:themeTint="0D" w:fill="f2f2f2" w:themeFill="text1" w:themeFillTint="0D"/>
        <w:tcBorders/>
      </w:tcPr>
    </w:tblStylePr>
    <w:tblStylePr w:type="band2Horz">
      <w:rPr>
        <w:rFonts w:ascii="Arial" w:hAnsi="Arial"/>
        <w:color w:val="4a4a4a"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a4a4a" w:themeColor="text1" w:themeTint="80" w:themeShade="95"/>
        <w:sz w:val="22"/>
      </w:rPr>
      <w:pPr>
        <w:pBdr/>
        <w:spacing/>
        <w:ind/>
        <w:jc w:val="right"/>
      </w:pPr>
      <w:tblPr>
        <w:tblBorders/>
      </w:tblPr>
      <w:tcPr>
        <w:shd w:color="ffffff"/>
        <w:tcBorders>
          <w:top w:val="none"/>
          <w:left w:val="none"/>
          <w:bottom w:val="none"/>
          <w:right w:val="single" w:color="000000" w:themeColor="text1" w:themeTint="80" w:sz="4" w:space="0"/>
        </w:tcBorders>
      </w:tcPr>
    </w:tblStylePr>
    <w:tblStylePr w:type="firstRow">
      <w:rPr>
        <w:rFonts w:ascii="Arial" w:hAnsi="Arial"/>
        <w:b/>
        <w:color w:val="4a4a4a" w:themeColor="text1" w:themeTint="80" w:themeShade="95"/>
        <w:sz w:val="22"/>
      </w:rPr>
      <w:pPr>
        <w:pBdr/>
        <w:spacing/>
        <w:ind/>
      </w:pPr>
      <w:tblPr>
        <w:tblBorders/>
      </w:tbl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pPr>
        <w:pBdr/>
        <w:spacing/>
        <w:ind/>
      </w:pPr>
      <w:tblPr>
        <w:tblBorders/>
      </w:tblPr>
      <w:tcPr>
        <w:shd w:color="ffffff"/>
        <w:tcBorders>
          <w:top w:val="none"/>
          <w:left w:val="single" w:color="000000" w:themeColor="text1" w:themeTint="80" w:sz="4" w:space="0"/>
          <w:bottom w:val="none"/>
          <w:right w:val="none"/>
        </w:tcBorders>
      </w:tcPr>
    </w:tblStylePr>
    <w:tblStylePr w:type="lastRow">
      <w:rPr>
        <w:rFonts w:ascii="Arial" w:hAnsi="Arial"/>
        <w:b/>
        <w:color w:val="4a4a4a" w:themeColor="text1" w:themeTint="80" w:themeShade="95"/>
        <w:sz w:val="22"/>
      </w:rPr>
      <w:pPr>
        <w:pBdr/>
        <w:spacing/>
        <w:ind/>
      </w:pPr>
      <w:tblPr>
        <w:tblBorders/>
      </w:tblPr>
      <w:tcPr>
        <w:shd w:val="clear" w:color="ffffff" w:themeColor="light1" w:fill="ffffff" w:themeFill="light1"/>
        <w:tcBorders>
          <w:top w:val="single" w:color="000000" w:themeColor="tex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8">
    <w:name w:val="Grid Table 7 Colorful - Accent 1"/>
    <w:basedOn w:val="32"/>
    <w:uiPriority w:val="99"/>
    <w:pPr>
      <w:pBdr/>
      <w:spacing w:after="0" w:line="240" w:lineRule="auto"/>
      <w:ind/>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cPr>
      <w:tcBorders/>
    </w:tcPr>
    <w:tblStylePr w:type="band1Horz">
      <w:rPr>
        <w:rFonts w:ascii="Arial" w:hAnsi="Arial"/>
        <w:color w:val="3e70a3" w:themeColor="accent1" w:themeTint="80" w:themeShade="95"/>
        <w:sz w:val="22"/>
      </w:rPr>
      <w:pPr>
        <w:pBdr/>
        <w:spacing/>
        <w:ind/>
      </w:pPr>
      <w:tblPr>
        <w:tblBorders/>
      </w:tblPr>
      <w:tcPr>
        <w:shd w:val="clear" w:color="ffffff" w:themeColor="accent1" w:themeTint="34" w:fill="dae5f1" w:themeFill="accent1" w:themeFillTint="34"/>
        <w:tcBorders/>
      </w:tcPr>
    </w:tblStylePr>
    <w:tblStylePr w:type="band1Vert">
      <w:pPr>
        <w:pBdr/>
        <w:spacing/>
        <w:ind/>
      </w:pPr>
      <w:tblPr>
        <w:tblBorders/>
      </w:tblPr>
      <w:tcPr>
        <w:shd w:val="clear" w:color="ffffff" w:themeColor="accent1" w:themeTint="34" w:fill="dae5f1" w:themeFill="accent1" w:themeFillTint="34"/>
        <w:tcBorders/>
      </w:tcPr>
    </w:tblStylePr>
    <w:tblStylePr w:type="band2Horz">
      <w:rPr>
        <w:rFonts w:ascii="Arial" w:hAnsi="Arial"/>
        <w:color w:val="3e70a3"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3e70a3" w:themeColor="accent1" w:themeTint="80" w:themeShade="95"/>
        <w:sz w:val="22"/>
      </w:rPr>
      <w:pPr>
        <w:pBdr/>
        <w:spacing/>
        <w:ind/>
        <w:jc w:val="right"/>
      </w:pPr>
      <w:tblPr>
        <w:tblBorders/>
      </w:tblPr>
      <w:tcPr>
        <w:shd w:color="ffffff"/>
        <w:tcBorders>
          <w:top w:val="none"/>
          <w:left w:val="none"/>
          <w:bottom w:val="none"/>
          <w:right w:val="single" w:color="000000" w:themeColor="accent1" w:themeTint="80" w:sz="4" w:space="0"/>
        </w:tcBorders>
      </w:tcPr>
    </w:tblStylePr>
    <w:tblStylePr w:type="firstRow">
      <w:rPr>
        <w:rFonts w:ascii="Arial" w:hAnsi="Arial"/>
        <w:b/>
        <w:color w:val="3e70a3" w:themeColor="accent1" w:themeTint="80" w:themeShade="95"/>
        <w:sz w:val="22"/>
      </w:rPr>
      <w:pPr>
        <w:pBdr/>
        <w:spacing/>
        <w:ind/>
      </w:pPr>
      <w:tblPr>
        <w:tblBorders/>
      </w:tblPr>
      <w:tcPr>
        <w:shd w:val="clear" w:color="ffffff" w:themeColor="light1" w:fill="ffffff" w:themeFill="light1"/>
        <w:tcBorders>
          <w:top w:val="none"/>
          <w:left w:val="none"/>
          <w:bottom w:val="single" w:color="000000" w:themeColor="accent1" w:themeTint="80" w:sz="4" w:space="0"/>
          <w:right w:val="none"/>
        </w:tcBorders>
      </w:tcPr>
    </w:tblStylePr>
    <w:tblStylePr w:type="lastCol">
      <w:rPr>
        <w:rFonts w:ascii="Arial" w:hAnsi="Arial"/>
        <w:i/>
        <w:color w:val="3e70a3" w:themeColor="accent1" w:themeTint="80" w:themeShade="95"/>
        <w:sz w:val="22"/>
      </w:rPr>
      <w:pPr>
        <w:pBdr/>
        <w:spacing/>
        <w:ind/>
      </w:pPr>
      <w:tblPr>
        <w:tblBorders/>
      </w:tblPr>
      <w:tcPr>
        <w:shd w:color="ffffff"/>
        <w:tcBorders>
          <w:top w:val="none"/>
          <w:left w:val="single" w:color="000000" w:themeColor="accent1" w:themeTint="80" w:sz="4" w:space="0"/>
          <w:bottom w:val="none"/>
          <w:right w:val="none"/>
        </w:tcBorders>
      </w:tcPr>
    </w:tblStylePr>
    <w:tblStylePr w:type="lastRow">
      <w:rPr>
        <w:rFonts w:ascii="Arial" w:hAnsi="Arial"/>
        <w:b/>
        <w:color w:val="3e70a3" w:themeColor="accent1" w:themeTint="80" w:themeShade="95"/>
        <w:sz w:val="22"/>
      </w:rPr>
      <w:pPr>
        <w:pBdr/>
        <w:spacing/>
        <w:ind/>
      </w:pPr>
      <w:tblPr>
        <w:tblBorders/>
      </w:tblPr>
      <w:tcPr>
        <w:shd w:val="clear" w:color="ffffff" w:themeColor="light1" w:fill="ffffff" w:themeFill="light1"/>
        <w:tcBorders>
          <w:top w:val="single" w:color="000000" w:themeColor="accen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9">
    <w:name w:val="Grid Table 7 Colorful - Accent 2"/>
    <w:basedOn w:val="32"/>
    <w:uiPriority w:val="99"/>
    <w:pPr>
      <w:pBdr/>
      <w:spacing w:after="0" w:line="240" w:lineRule="auto"/>
      <w:ind/>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9c3a37" w:themeColor="accent2" w:themeTint="97" w:themeShade="95"/>
        <w:sz w:val="22"/>
      </w:rPr>
      <w:pPr>
        <w:pBdr/>
        <w:spacing/>
        <w:ind/>
      </w:pPr>
      <w:tblPr>
        <w:tblBorders/>
      </w:tblPr>
      <w:tcPr>
        <w:shd w:val="clear" w:color="ffffff" w:themeColor="accent2" w:themeTint="32" w:fill="f2dcdb" w:themeFill="accent2" w:themeFillTint="32"/>
        <w:tcBorders/>
      </w:tcPr>
    </w:tblStylePr>
    <w:tblStylePr w:type="band1Vert">
      <w:pPr>
        <w:pBdr/>
        <w:spacing/>
        <w:ind/>
      </w:pPr>
      <w:tblPr>
        <w:tblBorders/>
      </w:tblPr>
      <w:tcPr>
        <w:shd w:val="clear" w:color="ffffff" w:themeColor="accent2" w:themeTint="32" w:fill="f2dcdb" w:themeFill="accent2" w:themeFillTint="32"/>
        <w:tcBorders/>
      </w:tcPr>
    </w:tblStylePr>
    <w:tblStylePr w:type="band2Horz">
      <w:rPr>
        <w:rFonts w:ascii="Arial" w:hAnsi="Arial"/>
        <w:color w:val="9c3a37"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9c3a37" w:themeColor="accent2" w:themeTint="97" w:themeShade="95"/>
        <w:sz w:val="22"/>
      </w:rPr>
      <w:pPr>
        <w:pBdr/>
        <w:spacing/>
        <w:ind/>
        <w:jc w:val="right"/>
      </w:pPr>
      <w:tblPr>
        <w:tblBorders/>
      </w:tblPr>
      <w:tcPr>
        <w:shd w:color="ffffff"/>
        <w:tcBorders>
          <w:top w:val="none"/>
          <w:left w:val="none"/>
          <w:bottom w:val="none"/>
          <w:right w:val="single" w:color="000000" w:themeColor="accent2" w:themeTint="97" w:sz="4" w:space="0"/>
        </w:tcBorders>
      </w:tcPr>
    </w:tblStylePr>
    <w:tblStylePr w:type="firstRow">
      <w:rPr>
        <w:rFonts w:ascii="Arial" w:hAnsi="Arial"/>
        <w:b/>
        <w:color w:val="9c3a37" w:themeColor="accent2" w:themeTint="97" w:themeShade="95"/>
        <w:sz w:val="22"/>
      </w:rPr>
      <w:pPr>
        <w:pBdr/>
        <w:spacing/>
        <w:ind/>
      </w:pPr>
      <w:tblPr>
        <w:tblBorders/>
      </w:tbl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9c3a37" w:themeColor="accent2" w:themeTint="97" w:themeShade="95"/>
        <w:sz w:val="22"/>
      </w:rPr>
      <w:pPr>
        <w:pBdr/>
        <w:spacing/>
        <w:ind/>
      </w:pPr>
      <w:tblPr>
        <w:tblBorders/>
      </w:tblPr>
      <w:tcPr>
        <w:shd w:color="ffffff"/>
        <w:tcBorders>
          <w:top w:val="none"/>
          <w:left w:val="single" w:color="000000" w:themeColor="accent2" w:themeTint="97" w:sz="4" w:space="0"/>
          <w:bottom w:val="none"/>
          <w:right w:val="none"/>
        </w:tcBorders>
      </w:tcPr>
    </w:tblStylePr>
    <w:tblStylePr w:type="lastRow">
      <w:rPr>
        <w:rFonts w:ascii="Arial" w:hAnsi="Arial"/>
        <w:b/>
        <w:color w:val="9c3a37" w:themeColor="accent2" w:themeTint="97" w:themeShade="95"/>
        <w:sz w:val="22"/>
      </w:rPr>
      <w:pPr>
        <w:pBdr/>
        <w:spacing/>
        <w:ind/>
      </w:pPr>
      <w:tblPr>
        <w:tblBorders/>
      </w:tblPr>
      <w:tcPr>
        <w:shd w:val="clear" w:color="ffffff" w:themeColor="light1" w:fill="ffffff" w:themeFill="light1"/>
        <w:tcBorders>
          <w:top w:val="single" w:color="000000" w:themeColor="accent2" w:themeTint="97"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0">
    <w:name w:val="Grid Table 7 Colorful - Accent 3"/>
    <w:basedOn w:val="32"/>
    <w:uiPriority w:val="99"/>
    <w:pPr>
      <w:pBdr/>
      <w:spacing w:after="0" w:line="240" w:lineRule="auto"/>
      <w:ind/>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5c702f" w:themeColor="accent3" w:themeTint="FE" w:themeShade="95"/>
        <w:sz w:val="22"/>
      </w:rPr>
      <w:pPr>
        <w:pBdr/>
        <w:spacing/>
        <w:ind/>
      </w:pPr>
      <w:tblPr>
        <w:tblBorders/>
      </w:tblPr>
      <w:tcPr>
        <w:shd w:val="clear" w:color="ffffff" w:themeColor="accent3" w:themeTint="34" w:fill="eaf0dd" w:themeFill="accent3" w:themeFillTint="34"/>
        <w:tcBorders/>
      </w:tcPr>
    </w:tblStylePr>
    <w:tblStylePr w:type="band1Vert">
      <w:pPr>
        <w:pBdr/>
        <w:spacing/>
        <w:ind/>
      </w:pPr>
      <w:tblPr>
        <w:tblBorders/>
      </w:tblPr>
      <w:tcPr>
        <w:shd w:val="clear" w:color="ffffff" w:themeColor="accent3" w:themeTint="34" w:fill="eaf0dd" w:themeFill="accent3" w:themeFillTint="34"/>
        <w:tcBorders/>
      </w:tcPr>
    </w:tblStylePr>
    <w:tblStylePr w:type="band2Horz">
      <w:rPr>
        <w:rFonts w:ascii="Arial" w:hAnsi="Arial"/>
        <w:color w:val="5c702f"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5c702f" w:themeColor="accent3" w:themeTint="FE" w:themeShade="95"/>
        <w:sz w:val="22"/>
      </w:rPr>
      <w:pPr>
        <w:pBdr/>
        <w:spacing/>
        <w:ind/>
        <w:jc w:val="right"/>
      </w:pPr>
      <w:tblPr>
        <w:tblBorders/>
      </w:tblPr>
      <w:tcPr>
        <w:shd w:color="ffffff"/>
        <w:tcBorders>
          <w:top w:val="none"/>
          <w:left w:val="none"/>
          <w:bottom w:val="none"/>
          <w:right w:val="single" w:color="000000" w:themeColor="accent3" w:themeTint="FE" w:sz="4" w:space="0"/>
        </w:tcBorders>
      </w:tcPr>
    </w:tblStylePr>
    <w:tblStylePr w:type="firstRow">
      <w:rPr>
        <w:rFonts w:ascii="Arial" w:hAnsi="Arial"/>
        <w:b/>
        <w:color w:val="5c702f" w:themeColor="accent3" w:themeTint="FE" w:themeShade="95"/>
        <w:sz w:val="22"/>
      </w:rPr>
      <w:pPr>
        <w:pBdr/>
        <w:spacing/>
        <w:ind/>
      </w:pPr>
      <w:tblPr>
        <w:tblBorders/>
      </w:tblPr>
      <w:tcPr>
        <w:shd w:val="clear" w:color="ffffff" w:themeColor="light1" w:fill="ffffff" w:themeFill="light1"/>
        <w:tcBorders>
          <w:top w:val="none"/>
          <w:left w:val="none"/>
          <w:bottom w:val="single" w:color="000000" w:themeColor="accent3" w:themeTint="FE" w:sz="4" w:space="0"/>
          <w:right w:val="none"/>
        </w:tcBorders>
      </w:tcPr>
    </w:tblStylePr>
    <w:tblStylePr w:type="lastCol">
      <w:rPr>
        <w:rFonts w:ascii="Arial" w:hAnsi="Arial"/>
        <w:i/>
        <w:color w:val="5c702f" w:themeColor="accent3" w:themeTint="FE" w:themeShade="95"/>
        <w:sz w:val="22"/>
      </w:rPr>
      <w:pPr>
        <w:pBdr/>
        <w:spacing/>
        <w:ind/>
      </w:pPr>
      <w:tblPr>
        <w:tblBorders/>
      </w:tblPr>
      <w:tcPr>
        <w:shd w:color="ffffff"/>
        <w:tcBorders>
          <w:top w:val="none"/>
          <w:left w:val="single" w:color="000000" w:themeColor="accent3" w:themeTint="FE" w:sz="4" w:space="0"/>
          <w:bottom w:val="none"/>
          <w:right w:val="none"/>
        </w:tcBorders>
      </w:tcPr>
    </w:tblStylePr>
    <w:tblStylePr w:type="lastRow">
      <w:rPr>
        <w:rFonts w:ascii="Arial" w:hAnsi="Arial"/>
        <w:b/>
        <w:color w:val="5c702f" w:themeColor="accent3" w:themeTint="FE" w:themeShade="95"/>
        <w:sz w:val="22"/>
      </w:rPr>
      <w:pPr>
        <w:pBdr/>
        <w:spacing/>
        <w:ind/>
      </w:pPr>
      <w:tblPr>
        <w:tblBorders/>
      </w:tblPr>
      <w:tcPr>
        <w:shd w:val="clear" w:color="ffffff" w:themeColor="light1" w:fill="ffffff" w:themeFill="light1"/>
        <w:tcBorders>
          <w:top w:val="single" w:color="000000" w:themeColor="accent3" w:themeTint="FE"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1">
    <w:name w:val="Grid Table 7 Colorful - Accent 4"/>
    <w:basedOn w:val="32"/>
    <w:uiPriority w:val="99"/>
    <w:pPr>
      <w:pBdr/>
      <w:spacing w:after="0" w:line="240" w:lineRule="auto"/>
      <w:ind/>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664f82" w:themeColor="accent4" w:themeTint="9A" w:themeShade="95"/>
        <w:sz w:val="22"/>
      </w:rPr>
      <w:pPr>
        <w:pBdr/>
        <w:spacing/>
        <w:ind/>
      </w:pPr>
      <w:tblPr>
        <w:tblBorders/>
      </w:tblPr>
      <w:tcPr>
        <w:shd w:val="clear" w:color="ffffff" w:themeColor="accent4" w:themeTint="34" w:fill="e5dfec" w:themeFill="accent4" w:themeFillTint="34"/>
        <w:tcBorders/>
      </w:tcPr>
    </w:tblStylePr>
    <w:tblStylePr w:type="band1Vert">
      <w:pPr>
        <w:pBdr/>
        <w:spacing/>
        <w:ind/>
      </w:pPr>
      <w:tblPr>
        <w:tblBorders/>
      </w:tblPr>
      <w:tcPr>
        <w:shd w:val="clear" w:color="ffffff" w:themeColor="accent4" w:themeTint="34" w:fill="e5dfec" w:themeFill="accent4" w:themeFillTint="34"/>
        <w:tcBorders/>
      </w:tcPr>
    </w:tblStylePr>
    <w:tblStylePr w:type="band2Horz">
      <w:rPr>
        <w:rFonts w:ascii="Arial" w:hAnsi="Arial"/>
        <w:color w:val="664f82"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664f82" w:themeColor="accent4" w:themeTint="9A" w:themeShade="95"/>
        <w:sz w:val="22"/>
      </w:rPr>
      <w:pPr>
        <w:pBdr/>
        <w:spacing/>
        <w:ind/>
        <w:jc w:val="right"/>
      </w:pPr>
      <w:tblPr>
        <w:tblBorders/>
      </w:tblPr>
      <w:tcPr>
        <w:shd w:color="ffffff"/>
        <w:tcBorders>
          <w:top w:val="none"/>
          <w:left w:val="none"/>
          <w:bottom w:val="none"/>
          <w:right w:val="single" w:color="000000" w:themeColor="accent4" w:themeTint="9A" w:sz="4" w:space="0"/>
        </w:tcBorders>
      </w:tcPr>
    </w:tblStylePr>
    <w:tblStylePr w:type="firstRow">
      <w:rPr>
        <w:rFonts w:ascii="Arial" w:hAnsi="Arial"/>
        <w:b/>
        <w:color w:val="664f82" w:themeColor="accent4" w:themeTint="9A" w:themeShade="95"/>
        <w:sz w:val="22"/>
      </w:rPr>
      <w:pPr>
        <w:pBdr/>
        <w:spacing/>
        <w:ind/>
      </w:pPr>
      <w:tblPr>
        <w:tblBorders/>
      </w:tbl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664f82" w:themeColor="accent4" w:themeTint="9A" w:themeShade="95"/>
        <w:sz w:val="22"/>
      </w:rPr>
      <w:pPr>
        <w:pBdr/>
        <w:spacing/>
        <w:ind/>
      </w:pPr>
      <w:tblPr>
        <w:tblBorders/>
      </w:tblPr>
      <w:tcPr>
        <w:shd w:color="ffffff"/>
        <w:tcBorders>
          <w:top w:val="none"/>
          <w:left w:val="single" w:color="000000" w:themeColor="accent4" w:themeTint="9A" w:sz="4" w:space="0"/>
          <w:bottom w:val="none"/>
          <w:right w:val="none"/>
        </w:tcBorders>
      </w:tcPr>
    </w:tblStylePr>
    <w:tblStylePr w:type="lastRow">
      <w:rPr>
        <w:rFonts w:ascii="Arial" w:hAnsi="Arial"/>
        <w:b/>
        <w:color w:val="664f82" w:themeColor="accent4" w:themeTint="9A" w:themeShade="95"/>
        <w:sz w:val="22"/>
      </w:rPr>
      <w:pPr>
        <w:pBdr/>
        <w:spacing/>
        <w:ind/>
      </w:pPr>
      <w:tblPr>
        <w:tblBorders/>
      </w:tblPr>
      <w:tcPr>
        <w:shd w:val="clear" w:color="ffffff" w:themeColor="light1" w:fill="ffffff" w:themeFill="light1"/>
        <w:tcBorders>
          <w:top w:val="single" w:color="000000" w:themeColor="accent4"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2">
    <w:name w:val="Grid Table 7 Colorful - Accent 5"/>
    <w:basedOn w:val="32"/>
    <w:uiPriority w:val="99"/>
    <w:pPr>
      <w:pBdr/>
      <w:spacing w:after="0" w:line="240" w:lineRule="auto"/>
      <w:ind/>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cPr>
      <w:tcBorders/>
    </w:tcPr>
    <w:tblStylePr w:type="band1Horz">
      <w:rPr>
        <w:rFonts w:ascii="Arial" w:hAnsi="Arial"/>
        <w:color w:val="266777" w:themeColor="accent5" w:themeShade="95"/>
        <w:sz w:val="22"/>
      </w:rPr>
      <w:pPr>
        <w:pBdr/>
        <w:spacing/>
        <w:ind/>
      </w:pPr>
      <w:tblPr>
        <w:tblBorders/>
      </w:tblPr>
      <w:tcPr>
        <w:shd w:val="clear" w:color="ffffff" w:themeColor="accent5" w:themeTint="34" w:fill="daeef3" w:themeFill="accent5" w:themeFillTint="34"/>
        <w:tcBorders/>
      </w:tcPr>
    </w:tblStylePr>
    <w:tblStylePr w:type="band1Vert">
      <w:pPr>
        <w:pBdr/>
        <w:spacing/>
        <w:ind/>
      </w:pPr>
      <w:tblPr>
        <w:tblBorders/>
      </w:tblPr>
      <w:tcPr>
        <w:shd w:val="clear" w:color="ffffff" w:themeColor="accent5" w:themeTint="34" w:fill="daeef3" w:themeFill="accent5" w:themeFillTint="34"/>
        <w:tcBorders/>
      </w:tcPr>
    </w:tblStylePr>
    <w:tblStylePr w:type="band2Horz">
      <w:rPr>
        <w:rFonts w:ascii="Arial" w:hAnsi="Arial"/>
        <w:color w:val="266777"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66777" w:themeColor="accent5" w:themeShade="95"/>
        <w:sz w:val="22"/>
      </w:rPr>
      <w:pPr>
        <w:pBdr/>
        <w:spacing/>
        <w:ind/>
        <w:jc w:val="right"/>
      </w:pPr>
      <w:tblPr>
        <w:tblBorders/>
      </w:tblPr>
      <w:tcPr>
        <w:shd w:color="ffffff"/>
        <w:tcBorders>
          <w:top w:val="none"/>
          <w:left w:val="none"/>
          <w:bottom w:val="none"/>
          <w:right w:val="single" w:color="000000" w:themeColor="accent5" w:themeTint="90" w:sz="4" w:space="0"/>
        </w:tcBorders>
      </w:tcPr>
    </w:tblStylePr>
    <w:tblStylePr w:type="firstRow">
      <w:rPr>
        <w:rFonts w:ascii="Arial" w:hAnsi="Arial"/>
        <w:b/>
        <w:color w:val="266777" w:themeColor="accent5" w:themeShade="95"/>
        <w:sz w:val="22"/>
      </w:rPr>
      <w:pPr>
        <w:pBdr/>
        <w:spacing/>
        <w:ind/>
      </w:pPr>
      <w:tblPr>
        <w:tblBorders/>
      </w:tblPr>
      <w:tcPr>
        <w:shd w:val="clear" w:color="ffffff" w:themeColor="light1" w:fill="ffffff" w:themeFill="light1"/>
        <w:tcBorders>
          <w:top w:val="none"/>
          <w:left w:val="none"/>
          <w:bottom w:val="single" w:color="000000" w:themeColor="accent5" w:themeTint="90" w:sz="4" w:space="0"/>
          <w:right w:val="none"/>
        </w:tcBorders>
      </w:tcPr>
    </w:tblStylePr>
    <w:tblStylePr w:type="lastCol">
      <w:rPr>
        <w:rFonts w:ascii="Arial" w:hAnsi="Arial"/>
        <w:i/>
        <w:color w:val="266777" w:themeColor="accent5" w:themeShade="95"/>
        <w:sz w:val="22"/>
      </w:rPr>
      <w:pPr>
        <w:pBdr/>
        <w:spacing/>
        <w:ind/>
      </w:pPr>
      <w:tblPr>
        <w:tblBorders/>
      </w:tblPr>
      <w:tcPr>
        <w:shd w:color="ffffff"/>
        <w:tcBorders>
          <w:top w:val="none"/>
          <w:left w:val="single" w:color="000000" w:themeColor="accent5" w:themeTint="90" w:sz="4" w:space="0"/>
          <w:bottom w:val="none"/>
          <w:right w:val="none"/>
        </w:tcBorders>
      </w:tcPr>
    </w:tblStylePr>
    <w:tblStylePr w:type="lastRow">
      <w:rPr>
        <w:rFonts w:ascii="Arial" w:hAnsi="Arial"/>
        <w:b/>
        <w:color w:val="266777" w:themeColor="accent5" w:themeShade="95"/>
        <w:sz w:val="22"/>
      </w:rPr>
      <w:pPr>
        <w:pBdr/>
        <w:spacing/>
        <w:ind/>
      </w:pPr>
      <w:tblPr>
        <w:tblBorders/>
      </w:tblPr>
      <w:tcPr>
        <w:shd w:val="clear" w:color="ffffff" w:themeColor="light1" w:fill="ffffff" w:themeFill="light1"/>
        <w:tcBorders>
          <w:top w:val="single" w:color="000000" w:themeColor="accent5" w:themeTint="9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3">
    <w:name w:val="Grid Table 7 Colorful - Accent 6"/>
    <w:basedOn w:val="32"/>
    <w:uiPriority w:val="99"/>
    <w:pPr>
      <w:pBdr/>
      <w:spacing w:after="0" w:line="240" w:lineRule="auto"/>
      <w:ind/>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cPr>
      <w:tcBorders/>
    </w:tcPr>
    <w:tblStylePr w:type="band1Horz">
      <w:rPr>
        <w:rFonts w:ascii="Arial" w:hAnsi="Arial"/>
        <w:color w:val="b05307" w:themeColor="accent6" w:themeShade="95"/>
        <w:sz w:val="22"/>
      </w:rPr>
      <w:pPr>
        <w:pBdr/>
        <w:spacing/>
        <w:ind/>
      </w:pPr>
      <w:tblPr>
        <w:tblBorders/>
      </w:tblPr>
      <w:tcPr>
        <w:shd w:val="clear" w:color="ffffff" w:themeColor="accent6" w:themeTint="34" w:fill="fde9d8" w:themeFill="accent6" w:themeFillTint="34"/>
        <w:tcBorders/>
      </w:tcPr>
    </w:tblStylePr>
    <w:tblStylePr w:type="band1Vert">
      <w:pPr>
        <w:pBdr/>
        <w:spacing/>
        <w:ind/>
      </w:pPr>
      <w:tblPr>
        <w:tblBorders/>
      </w:tblPr>
      <w:tcPr>
        <w:shd w:val="clear" w:color="ffffff" w:themeColor="accent6" w:themeTint="34" w:fill="fde9d8" w:themeFill="accent6" w:themeFillTint="34"/>
        <w:tcBorders/>
      </w:tcPr>
    </w:tblStylePr>
    <w:tblStylePr w:type="band2Horz">
      <w:rPr>
        <w:rFonts w:ascii="Arial" w:hAnsi="Arial"/>
        <w:color w:val="b05307" w:themeColor="accent6"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b05307" w:themeColor="accent6" w:themeShade="95"/>
        <w:sz w:val="22"/>
      </w:rPr>
      <w:pPr>
        <w:pBdr/>
        <w:spacing/>
        <w:ind/>
        <w:jc w:val="right"/>
      </w:pPr>
      <w:tblPr>
        <w:tblBorders/>
      </w:tblPr>
      <w:tcPr>
        <w:shd w:color="ffffff"/>
        <w:tcBorders>
          <w:top w:val="none"/>
          <w:left w:val="none"/>
          <w:bottom w:val="none"/>
          <w:right w:val="single" w:color="000000" w:themeColor="accent6" w:themeTint="90" w:sz="4" w:space="0"/>
        </w:tcBorders>
      </w:tcPr>
    </w:tblStylePr>
    <w:tblStylePr w:type="firstRow">
      <w:rPr>
        <w:rFonts w:ascii="Arial" w:hAnsi="Arial"/>
        <w:b/>
        <w:color w:val="b05307" w:themeColor="accent6" w:themeShade="95"/>
        <w:sz w:val="22"/>
      </w:rPr>
      <w:pPr>
        <w:pBdr/>
        <w:spacing/>
        <w:ind/>
      </w:pPr>
      <w:tblPr>
        <w:tblBorders/>
      </w:tblPr>
      <w:tcPr>
        <w:shd w:val="clear" w:color="ffffff" w:themeColor="light1" w:fill="ffffff" w:themeFill="light1"/>
        <w:tcBorders>
          <w:top w:val="none"/>
          <w:left w:val="none"/>
          <w:bottom w:val="single" w:color="000000" w:themeColor="accent6" w:themeTint="90" w:sz="4" w:space="0"/>
          <w:right w:val="none"/>
        </w:tcBorders>
      </w:tcPr>
    </w:tblStylePr>
    <w:tblStylePr w:type="lastCol">
      <w:rPr>
        <w:rFonts w:ascii="Arial" w:hAnsi="Arial"/>
        <w:i/>
        <w:color w:val="b05307" w:themeColor="accent6" w:themeShade="95"/>
        <w:sz w:val="22"/>
      </w:rPr>
      <w:pPr>
        <w:pBdr/>
        <w:spacing/>
        <w:ind/>
      </w:pPr>
      <w:tblPr>
        <w:tblBorders/>
      </w:tblPr>
      <w:tcPr>
        <w:shd w:color="ffffff"/>
        <w:tcBorders>
          <w:top w:val="none"/>
          <w:left w:val="single" w:color="000000" w:themeColor="accent6" w:themeTint="90" w:sz="4" w:space="0"/>
          <w:bottom w:val="none"/>
          <w:right w:val="none"/>
        </w:tcBorders>
      </w:tcPr>
    </w:tblStylePr>
    <w:tblStylePr w:type="lastRow">
      <w:rPr>
        <w:rFonts w:ascii="Arial" w:hAnsi="Arial"/>
        <w:b/>
        <w:color w:val="b05307" w:themeColor="accent6" w:themeShade="95"/>
        <w:sz w:val="22"/>
      </w:rPr>
      <w:pPr>
        <w:pBdr/>
        <w:spacing/>
        <w:ind/>
      </w:pPr>
      <w:tblPr>
        <w:tblBorders/>
      </w:tblPr>
      <w:tcPr>
        <w:shd w:val="clear" w:color="ffffff" w:themeColor="light1" w:fill="ffffff" w:themeFill="light1"/>
        <w:tcBorders>
          <w:top w:val="single" w:color="000000" w:themeColor="accent6" w:themeTint="9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4">
    <w:name w:val="List Table 1 Light"/>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5">
    <w:name w:val="List Table 1 Light - Accent 1"/>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1" w:themeTint="40" w:fill="d3e0ee" w:themeFill="accent1" w:themeFillTint="40"/>
        <w:tcBorders/>
      </w:tcPr>
    </w:tblStylePr>
    <w:tblStylePr w:type="band1Vert">
      <w:pPr>
        <w:pBdr/>
        <w:spacing/>
        <w:ind/>
      </w:pPr>
      <w:tblPr>
        <w:tblBorders/>
      </w:tblPr>
      <w:tcPr>
        <w:shd w:val="clear" w:color="ffffff" w:themeColor="accent1" w:themeTint="40" w:fill="d3e0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6">
    <w:name w:val="List Table 1 Light - Accent 2"/>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2"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7">
    <w:name w:val="List Table 1 Light - Accent 3"/>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3"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8">
    <w:name w:val="List Table 1 Light - Accent 4"/>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4" w:themeTint="40" w:fill="dfd8e7" w:themeFill="accent4" w:themeFillTint="40"/>
        <w:tcBorders/>
      </w:tcPr>
    </w:tblStylePr>
    <w:tblStylePr w:type="band1Vert">
      <w:pPr>
        <w:pBdr/>
        <w:spacing/>
        <w:ind/>
      </w:pPr>
      <w:tblPr>
        <w:tblBorders/>
      </w:tblPr>
      <w:tcPr>
        <w:shd w:val="clear" w:color="ffffff"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4"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9">
    <w:name w:val="List Table 1 Light - Accent 5"/>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5" w:themeTint="40" w:fill="d1eaf0" w:themeFill="accent5" w:themeFillTint="40"/>
        <w:tcBorders/>
      </w:tcPr>
    </w:tblStylePr>
    <w:tblStylePr w:type="band1Vert">
      <w:pPr>
        <w:pBdr/>
        <w:spacing/>
        <w:ind/>
      </w:pPr>
      <w:tblPr>
        <w:tblBorders/>
      </w:tblPr>
      <w:tcPr>
        <w:shd w:val="clear" w:color="ffffff"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0">
    <w:name w:val="List Table 1 Light - Accent 6"/>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6" w:themeTint="40" w:fill="fce4d1" w:themeFill="accent6" w:themeFillTint="40"/>
        <w:tcBorders/>
      </w:tcPr>
    </w:tblStylePr>
    <w:tblStylePr w:type="band1Vert">
      <w:pPr>
        <w:pBdr/>
        <w:spacing/>
        <w:ind/>
      </w:pPr>
      <w:tblPr>
        <w:tblBorders/>
      </w:tblPr>
      <w:tcPr>
        <w:shd w:val="clear" w:color="ffffff" w:themeColor="accent6" w:themeTint="40" w:fill="fce4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1">
    <w:name w:val="List Table 2"/>
    <w:basedOn w:val="32"/>
    <w:uiPriority w:val="99"/>
    <w:pPr>
      <w:pBdr/>
      <w:spacing w:after="0" w:line="240" w:lineRule="auto"/>
      <w:ind/>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cPr>
      <w:tcBorders/>
    </w:tcPr>
    <w:tblStylePr w:type="band1Horz">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2">
    <w:name w:val="List Table 2 - Accent 1"/>
    <w:basedOn w:val="32"/>
    <w:uiPriority w:val="99"/>
    <w:pPr>
      <w:pBdr/>
      <w:spacing w:after="0" w:line="240" w:lineRule="auto"/>
      <w:ind/>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1Vert">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3">
    <w:name w:val="List Table 2 - Accent 2"/>
    <w:basedOn w:val="32"/>
    <w:uiPriority w:val="99"/>
    <w:pPr>
      <w:pBdr/>
      <w:spacing w:after="0" w:line="240" w:lineRule="auto"/>
      <w:ind/>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1Vert">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4">
    <w:name w:val="List Table 2 - Accent 3"/>
    <w:basedOn w:val="32"/>
    <w:uiPriority w:val="99"/>
    <w:pPr>
      <w:pBdr/>
      <w:spacing w:after="0" w:line="240" w:lineRule="auto"/>
      <w:ind/>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1Vert">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5">
    <w:name w:val="List Table 2 - Accent 4"/>
    <w:basedOn w:val="32"/>
    <w:uiPriority w:val="99"/>
    <w:pPr>
      <w:pBdr/>
      <w:spacing w:after="0" w:line="240" w:lineRule="auto"/>
      <w:ind/>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1Vert">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6">
    <w:name w:val="List Table 2 - Accent 5"/>
    <w:basedOn w:val="32"/>
    <w:uiPriority w:val="99"/>
    <w:pPr>
      <w:pBdr/>
      <w:spacing w:after="0" w:line="240" w:lineRule="auto"/>
      <w:ind/>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1Vert">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7">
    <w:name w:val="List Table 2 - Accent 6"/>
    <w:basedOn w:val="32"/>
    <w:uiPriority w:val="99"/>
    <w:pPr>
      <w:pBdr/>
      <w:spacing w:after="0" w:line="240" w:lineRule="auto"/>
      <w:ind/>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1Vert">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8">
    <w:name w:val="List Table 3"/>
    <w:basedOn w:val="32"/>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cPr>
      <w:tcBorders/>
    </w:tcPr>
    <w:tblStylePr w:type="band1Horz">
      <w:rPr>
        <w:rFonts w:ascii="Arial" w:hAnsi="Arial"/>
        <w:color w:val="404040"/>
        <w:sz w:val="22"/>
      </w:rPr>
      <w:pPr>
        <w:pBdr/>
        <w:spacing/>
        <w:ind/>
      </w:pPr>
      <w:tblPr>
        <w:tblBorders/>
      </w:tblPr>
      <w:tcPr>
        <w:tcBorders>
          <w:top w:val="single" w:color="000000" w:themeColor="text1" w:sz="4" w:space="0"/>
          <w:bottom w:val="single" w:color="000000" w:themeColor="text1" w:sz="4" w:space="0"/>
        </w:tcBorders>
      </w:tcPr>
    </w:tblStylePr>
    <w:tblStylePr w:type="band1Vert">
      <w:rPr>
        <w:rFonts w:ascii="Arial" w:hAnsi="Arial"/>
        <w:color w:val="404040"/>
        <w:sz w:val="22"/>
      </w:rPr>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9">
    <w:name w:val="List Table 3 - Accent 1"/>
    <w:basedOn w:val="32"/>
    <w:uiPriority w:val="99"/>
    <w:pPr>
      <w:pBdr/>
      <w:spacing w:after="0" w:line="240" w:lineRule="auto"/>
      <w:ind/>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cPr>
      <w:tcBorders/>
    </w:tcPr>
    <w:tblStylePr w:type="band1Horz">
      <w:rPr>
        <w:rFonts w:ascii="Arial" w:hAnsi="Arial"/>
        <w:color w:val="404040"/>
        <w:sz w:val="22"/>
      </w:rPr>
      <w:pPr>
        <w:pBdr/>
        <w:spacing/>
        <w:ind/>
      </w:pPr>
      <w:tblPr>
        <w:tblBorders/>
      </w:tblPr>
      <w:tcPr>
        <w:tcBorders>
          <w:top w:val="single" w:color="000000" w:themeColor="accent1" w:sz="4" w:space="0"/>
          <w:bottom w:val="single" w:color="000000" w:themeColor="accent1" w:sz="4" w:space="0"/>
        </w:tcBorders>
      </w:tcPr>
    </w:tblStylePr>
    <w:tblStylePr w:type="band1Vert">
      <w:rPr>
        <w:rFonts w:ascii="Arial" w:hAnsi="Arial"/>
        <w:color w:val="404040"/>
        <w:sz w:val="22"/>
      </w:rPr>
      <w:pPr>
        <w:pBdr/>
        <w:spacing/>
        <w:ind/>
      </w:pPr>
      <w:tblPr>
        <w:tblBorders/>
      </w:tblPr>
      <w:tcPr>
        <w:tcBorders>
          <w:left w:val="single" w:color="000000" w:themeColor="accent1" w:sz="4" w:space="0"/>
          <w:right w:val="single" w:color="000000" w:themeColor="accen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0">
    <w:name w:val="List Table 3 - Accent 2"/>
    <w:basedOn w:val="32"/>
    <w:uiPriority w:val="99"/>
    <w:pPr>
      <w:pBdr/>
      <w:spacing w:after="0" w:line="240" w:lineRule="auto"/>
      <w:ind/>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pPr>
        <w:pBdr/>
        <w:spacing/>
        <w:ind/>
      </w:pPr>
      <w:tblPr>
        <w:tblBorders/>
      </w:tblPr>
      <w:tcPr>
        <w:tcBorders>
          <w:left w:val="single" w:color="000000" w:themeColor="accent2" w:themeTint="97" w:sz="4" w:space="0"/>
          <w:right w:val="single" w:color="000000" w:themeColor="accent2" w:themeTint="97"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themeTint="97" w:fill="d99694" w:themeFill="accent2" w:themeFillTint="97"/>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1">
    <w:name w:val="List Table 3 - Accent 3"/>
    <w:basedOn w:val="32"/>
    <w:uiPriority w:val="99"/>
    <w:pPr>
      <w:pBdr/>
      <w:spacing w:after="0" w:line="240" w:lineRule="auto"/>
      <w:ind/>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pPr>
        <w:pBdr/>
        <w:spacing/>
        <w:ind/>
      </w:pPr>
      <w:tblPr>
        <w:tblBorders/>
      </w:tblPr>
      <w:tcPr>
        <w:tcBorders>
          <w:left w:val="single" w:color="000000" w:themeColor="accent3" w:themeTint="98" w:sz="4" w:space="0"/>
          <w:right w:val="single" w:color="000000" w:themeColor="accent3"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themeTint="98" w:fill="c3d69b" w:themeFill="accent3"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2">
    <w:name w:val="List Table 3 - Accent 4"/>
    <w:basedOn w:val="32"/>
    <w:uiPriority w:val="99"/>
    <w:pPr>
      <w:pBdr/>
      <w:spacing w:after="0" w:line="240" w:lineRule="auto"/>
      <w:ind/>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pPr>
        <w:pBdr/>
        <w:spacing/>
        <w:ind/>
      </w:pPr>
      <w:tblPr>
        <w:tblBorders/>
      </w:tblPr>
      <w:tcPr>
        <w:tcBorders>
          <w:left w:val="single" w:color="000000" w:themeColor="accent4" w:themeTint="9A" w:sz="4" w:space="0"/>
          <w:right w:val="single" w:color="000000" w:themeColor="accent4"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themeTint="9A" w:fill="b2a1c6" w:themeFill="accent4"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3">
    <w:name w:val="List Table 3 - Accent 5"/>
    <w:basedOn w:val="32"/>
    <w:uiPriority w:val="99"/>
    <w:pPr>
      <w:pBdr/>
      <w:spacing w:after="0" w:line="240" w:lineRule="auto"/>
      <w:ind/>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pPr>
        <w:pBdr/>
        <w:spacing/>
        <w:ind/>
      </w:pPr>
      <w:tblPr>
        <w:tblBorders/>
      </w:tblPr>
      <w:tcPr>
        <w:tcBorders>
          <w:left w:val="single" w:color="000000" w:themeColor="accent5" w:themeTint="9A" w:sz="4" w:space="0"/>
          <w:right w:val="single" w:color="000000" w:themeColor="accent5"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themeTint="9A" w:fill="91cddc" w:themeFill="accent5"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4">
    <w:name w:val="List Table 3 - Accent 6"/>
    <w:basedOn w:val="32"/>
    <w:uiPriority w:val="99"/>
    <w:pPr>
      <w:pBdr/>
      <w:spacing w:after="0" w:line="240" w:lineRule="auto"/>
      <w:ind/>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pPr>
        <w:pBdr/>
        <w:spacing/>
        <w:ind/>
      </w:pPr>
      <w:tblPr>
        <w:tblBorders/>
      </w:tblPr>
      <w:tcPr>
        <w:tcBorders>
          <w:left w:val="single" w:color="000000" w:themeColor="accent6" w:themeTint="98" w:sz="4" w:space="0"/>
          <w:right w:val="single" w:color="000000" w:themeColor="accent6"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themeTint="98" w:fill="f9bf90" w:themeFill="accent6"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5">
    <w:name w:val="List Table 4"/>
    <w:basedOn w:val="32"/>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cPr>
      <w:tcBorders/>
    </w:tcPr>
    <w:tblStylePr w:type="band1Horz">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6">
    <w:name w:val="List Table 4 - Accent 1"/>
    <w:basedOn w:val="32"/>
    <w:uiPriority w:val="99"/>
    <w:pPr>
      <w:pBdr/>
      <w:spacing w:after="0" w:line="240" w:lineRule="auto"/>
      <w:ind/>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1Vert">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7">
    <w:name w:val="List Table 4 - Accent 2"/>
    <w:basedOn w:val="32"/>
    <w:uiPriority w:val="99"/>
    <w:pPr>
      <w:pBdr/>
      <w:spacing w:after="0" w:line="240" w:lineRule="auto"/>
      <w:ind/>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1Vert">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fill="c0504d" w:themeFill="accent2"/>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8">
    <w:name w:val="List Table 4 - Accent 3"/>
    <w:basedOn w:val="32"/>
    <w:uiPriority w:val="99"/>
    <w:pPr>
      <w:pBdr/>
      <w:spacing w:after="0" w:line="240" w:lineRule="auto"/>
      <w:ind/>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1Vert">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fill="9bbb59" w:themeFill="accent3"/>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9">
    <w:name w:val="List Table 4 - Accent 4"/>
    <w:basedOn w:val="32"/>
    <w:uiPriority w:val="99"/>
    <w:pPr>
      <w:pBdr/>
      <w:spacing w:after="0" w:line="240" w:lineRule="auto"/>
      <w:ind/>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1Vert">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fill="8064a2" w:themeFill="accent4"/>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0">
    <w:name w:val="List Table 4 - Accent 5"/>
    <w:basedOn w:val="32"/>
    <w:uiPriority w:val="99"/>
    <w:pPr>
      <w:pBdr/>
      <w:spacing w:after="0" w:line="240" w:lineRule="auto"/>
      <w:ind/>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1Vert">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1">
    <w:name w:val="List Table 4 - Accent 6"/>
    <w:basedOn w:val="32"/>
    <w:uiPriority w:val="99"/>
    <w:pPr>
      <w:pBdr/>
      <w:spacing w:after="0" w:line="240" w:lineRule="auto"/>
      <w:ind/>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1Vert">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2">
    <w:name w:val="List Table 5 Dark"/>
    <w:basedOn w:val="32"/>
    <w:uiPriority w:val="99"/>
    <w:pPr>
      <w:pBdr/>
      <w:spacing w:after="0" w:line="240" w:lineRule="auto"/>
      <w:ind/>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cPr>
      <w:tcBorders/>
    </w:tcPr>
    <w:tblStylePr w:type="band1Horz">
      <w:pPr>
        <w:pBdr/>
        <w:spacing/>
        <w:ind/>
      </w:pPr>
      <w:tblPr>
        <w:tblBorders/>
      </w:tblPr>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3">
    <w:name w:val="List Table 5 Dark - Accent 1"/>
    <w:basedOn w:val="32"/>
    <w:uiPriority w:val="99"/>
    <w:pPr>
      <w:pBdr/>
      <w:spacing w:after="0" w:line="240" w:lineRule="auto"/>
      <w:ind/>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cPr>
      <w:tcBorders/>
    </w:tcPr>
    <w:tblStylePr w:type="band1Horz">
      <w:pPr>
        <w:pBdr/>
        <w:spacing/>
        <w:ind/>
      </w:pPr>
      <w:tblPr>
        <w:tblBorders/>
      </w:tblPr>
      <w:tcPr>
        <w:shd w:val="clear" w:color="ffffff" w:themeColor="accent1" w:fill="4f81bd" w:themeFill="accent1"/>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1" w:fill="4f81bd" w:themeFill="accent1"/>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1" w:fill="4f81bd" w:themeFill="accent1"/>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1" w:fill="4f81bd" w:themeFill="accent1"/>
        <w:tcBorders>
          <w:top w:val="single" w:color="000000" w:themeColor="accent1"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4">
    <w:name w:val="List Table 5 Dark - Accent 2"/>
    <w:basedOn w:val="32"/>
    <w:uiPriority w:val="99"/>
    <w:pPr>
      <w:pBdr/>
      <w:spacing w:after="0" w:line="240" w:lineRule="auto"/>
      <w:ind/>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cPr>
      <w:tcBorders/>
    </w:tcPr>
    <w:tblStylePr w:type="band1Horz">
      <w:pPr>
        <w:pBdr/>
        <w:spacing/>
        <w:ind/>
      </w:pPr>
      <w:tblPr>
        <w:tblBorders/>
      </w:tblPr>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5">
    <w:name w:val="List Table 5 Dark - Accent 3"/>
    <w:basedOn w:val="32"/>
    <w:uiPriority w:val="99"/>
    <w:pPr>
      <w:pBdr/>
      <w:spacing w:after="0" w:line="240" w:lineRule="auto"/>
      <w:ind/>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cPr>
      <w:tcBorders/>
    </w:tcPr>
    <w:tblStylePr w:type="band1Horz">
      <w:pPr>
        <w:pBdr/>
        <w:spacing/>
        <w:ind/>
      </w:pPr>
      <w:tblPr>
        <w:tblBorders/>
      </w:tblPr>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6">
    <w:name w:val="List Table 5 Dark - Accent 4"/>
    <w:basedOn w:val="32"/>
    <w:uiPriority w:val="99"/>
    <w:pPr>
      <w:pBdr/>
      <w:spacing w:after="0" w:line="240" w:lineRule="auto"/>
      <w:ind/>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cPr>
      <w:tcBorders/>
    </w:tcPr>
    <w:tblStylePr w:type="band1Horz">
      <w:pPr>
        <w:pBdr/>
        <w:spacing/>
        <w:ind/>
      </w:pPr>
      <w:tblPr>
        <w:tblBorders/>
      </w:tblPr>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7">
    <w:name w:val="List Table 5 Dark - Accent 5"/>
    <w:basedOn w:val="32"/>
    <w:uiPriority w:val="99"/>
    <w:pPr>
      <w:pBdr/>
      <w:spacing w:after="0" w:line="240" w:lineRule="auto"/>
      <w:ind/>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cPr>
      <w:tcBorders/>
    </w:tcPr>
    <w:tblStylePr w:type="band1Horz">
      <w:pPr>
        <w:pBdr/>
        <w:spacing/>
        <w:ind/>
      </w:pPr>
      <w:tblPr>
        <w:tblBorders/>
      </w:tblPr>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8">
    <w:name w:val="List Table 5 Dark - Accent 6"/>
    <w:basedOn w:val="32"/>
    <w:uiPriority w:val="99"/>
    <w:pPr>
      <w:pBdr/>
      <w:spacing w:after="0" w:line="240" w:lineRule="auto"/>
      <w:ind/>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cPr>
      <w:tcBorders/>
    </w:tcPr>
    <w:tblStylePr w:type="band1Horz">
      <w:pPr>
        <w:pBdr/>
        <w:spacing/>
        <w:ind/>
      </w:pPr>
      <w:tblPr>
        <w:tblBorders/>
      </w:tblPr>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9">
    <w:name w:val="List Table 6 Colorful"/>
    <w:basedOn w:val="32"/>
    <w:uiPriority w:val="99"/>
    <w:pPr>
      <w:pBdr/>
      <w:spacing w:after="0" w:line="240" w:lineRule="auto"/>
      <w:ind/>
    </w:pPr>
    <w:tblPr>
      <w:tblStyleRowBandSize w:val="1"/>
      <w:tblStyleColBandSize w:val="1"/>
      <w:tblInd w:w="0" w:type="dxa"/>
      <w:tblBorders>
        <w:top w:val="single" w:color="000000" w:themeColor="text1" w:themeTint="80" w:sz="4" w:space="0"/>
        <w:bottom w:val="single" w:color="000000" w:themeColor="text1" w:themeTint="80" w:sz="4" w:space="0"/>
      </w:tblBorders>
    </w:tblPr>
    <w:tcPr>
      <w:tcBorders/>
    </w:tcPr>
    <w:tblStylePr w:type="band1Horz">
      <w:rPr>
        <w:rFonts w:ascii="Arial" w:hAnsi="Arial"/>
        <w:color w:val="404040" w:themeColor="text1"/>
        <w:sz w:val="22"/>
      </w:rPr>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rPr>
        <w:rFonts w:ascii="Arial" w:hAnsi="Arial"/>
        <w:color w:val="404040" w:themeColor="text1"/>
        <w:sz w:val="22"/>
      </w:rPr>
      <w:pPr>
        <w:pBdr/>
        <w:spacing/>
        <w:ind/>
      </w:pPr>
      <w:tblPr>
        <w:tblBorders/>
      </w:tblPr>
      <w:tcPr>
        <w:tcBorders/>
      </w:tcPr>
    </w:tblStylePr>
    <w:tblStylePr w:type="band2Vert">
      <w:pPr>
        <w:pBdr/>
        <w:spacing/>
        <w:ind/>
      </w:pPr>
      <w:tblPr>
        <w:tblBorders/>
      </w:tblPr>
      <w:tcPr>
        <w:tcBorders/>
      </w:tcPr>
    </w:tblStylePr>
    <w:tblStylePr w:type="firstCol">
      <w:rPr>
        <w:b/>
        <w:color w:val="000000" w:themeColor="text1"/>
      </w:rPr>
      <w:pPr>
        <w:pBdr/>
        <w:spacing/>
        <w:ind/>
      </w:pPr>
      <w:tblPr>
        <w:tblBorders/>
      </w:tblPr>
      <w:tcPr>
        <w:tcBorders/>
      </w:tcPr>
    </w:tblStylePr>
    <w:tblStylePr w:type="firstRow">
      <w:rPr>
        <w:b/>
        <w:color w:val="000000" w:themeColor="text1"/>
      </w:rPr>
      <w:pPr>
        <w:pBdr/>
        <w:spacing/>
        <w:ind/>
      </w:pPr>
      <w:tblPr>
        <w:tblBorders/>
      </w:tblPr>
      <w:tcPr>
        <w:tcBorders>
          <w:bottom w:val="single" w:color="000000" w:themeColor="text1" w:themeTint="80" w:sz="4" w:space="0"/>
        </w:tcBorders>
      </w:tcPr>
    </w:tblStylePr>
    <w:tblStylePr w:type="lastCol">
      <w:rPr>
        <w:b/>
        <w:color w:val="000000" w:themeColor="text1"/>
      </w:rPr>
      <w:pPr>
        <w:pBdr/>
        <w:spacing/>
        <w:ind/>
      </w:pPr>
      <w:tblPr>
        <w:tblBorders/>
      </w:tblPr>
      <w:tcPr>
        <w:tcBorders/>
      </w:tcPr>
    </w:tblStylePr>
    <w:tblStylePr w:type="lastRow">
      <w:rPr>
        <w:b/>
        <w:color w:val="000000" w:themeColor="text1"/>
      </w:rPr>
      <w:pPr>
        <w:pBdr/>
        <w:spacing/>
        <w:ind/>
      </w:pPr>
      <w:tblPr>
        <w:tblBorders/>
      </w:tblPr>
      <w:tcPr>
        <w:tcBorders>
          <w:top w:val="single" w:color="000000" w:themeColor="text1" w:themeTint="8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0">
    <w:name w:val="List Table 6 Colorful - Accent 1"/>
    <w:basedOn w:val="32"/>
    <w:uiPriority w:val="99"/>
    <w:pPr>
      <w:pBdr/>
      <w:spacing w:after="0" w:line="240" w:lineRule="auto"/>
      <w:ind/>
    </w:pPr>
    <w:tblPr>
      <w:tblStyleRowBandSize w:val="1"/>
      <w:tblStyleColBandSize w:val="1"/>
      <w:tblInd w:w="0" w:type="dxa"/>
      <w:tblBorders>
        <w:top w:val="single" w:color="000000" w:themeColor="accent1" w:sz="4" w:space="0"/>
        <w:bottom w:val="single" w:color="000000" w:themeColor="accent1" w:sz="4" w:space="0"/>
      </w:tblBorders>
    </w:tblPr>
    <w:tcPr>
      <w:tcBorders/>
    </w:tcPr>
    <w:tblStylePr w:type="band1Horz">
      <w:rPr>
        <w:rFonts w:ascii="Arial" w:hAnsi="Arial"/>
        <w:color w:val="404040" w:themeColor="accent1" w:themeShade="95"/>
        <w:sz w:val="22"/>
      </w:rPr>
      <w:pPr>
        <w:pBdr/>
        <w:spacing/>
        <w:ind/>
      </w:pPr>
      <w:tblPr>
        <w:tblBorders/>
      </w:tblPr>
      <w:tcPr>
        <w:shd w:val="clear" w:color="ffffff" w:themeColor="accent1" w:themeTint="40" w:fill="d3e0ee" w:themeFill="accent1" w:themeFillTint="40"/>
        <w:tcBorders/>
      </w:tcPr>
    </w:tblStylePr>
    <w:tblStylePr w:type="band1Vert">
      <w:pPr>
        <w:pBdr/>
        <w:spacing/>
        <w:ind/>
      </w:pPr>
      <w:tblPr>
        <w:tblBorders/>
      </w:tblPr>
      <w:tcPr>
        <w:shd w:val="clear" w:color="ffffff" w:themeColor="accent1" w:themeTint="40" w:fill="d3e0ee" w:themeFill="accent1" w:themeFillTint="40"/>
        <w:tcBorders/>
      </w:tcPr>
    </w:tblStylePr>
    <w:tblStylePr w:type="band2Horz">
      <w:rPr>
        <w:rFonts w:ascii="Arial" w:hAnsi="Arial"/>
        <w:color w:val="404040"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a4b71" w:themeColor="accent1" w:themeShade="95"/>
      </w:rPr>
      <w:pPr>
        <w:pBdr/>
        <w:spacing/>
        <w:ind/>
      </w:pPr>
      <w:tblPr>
        <w:tblBorders/>
      </w:tblPr>
      <w:tcPr>
        <w:tcBorders/>
      </w:tcPr>
    </w:tblStylePr>
    <w:tblStylePr w:type="firstRow">
      <w:rPr>
        <w:b/>
        <w:color w:val="2a4b71" w:themeColor="accent1" w:themeShade="95"/>
      </w:rPr>
      <w:pPr>
        <w:pBdr/>
        <w:spacing/>
        <w:ind/>
      </w:pPr>
      <w:tblPr>
        <w:tblBorders/>
      </w:tblPr>
      <w:tcPr>
        <w:tcBorders>
          <w:bottom w:val="single" w:color="000000" w:themeColor="accent1" w:sz="4" w:space="0"/>
        </w:tcBorders>
      </w:tcPr>
    </w:tblStylePr>
    <w:tblStylePr w:type="lastCol">
      <w:rPr>
        <w:b/>
        <w:color w:val="2a4b71" w:themeColor="accent1" w:themeShade="95"/>
      </w:rPr>
      <w:pPr>
        <w:pBdr/>
        <w:spacing/>
        <w:ind/>
      </w:pPr>
      <w:tblPr>
        <w:tblBorders/>
      </w:tblPr>
      <w:tcPr>
        <w:tcBorders/>
      </w:tcPr>
    </w:tblStylePr>
    <w:tblStylePr w:type="lastRow">
      <w:rPr>
        <w:b/>
        <w:color w:val="2a4b71" w:themeColor="accent1" w:themeShade="95"/>
      </w:rPr>
      <w:pPr>
        <w:pBdr/>
        <w:spacing/>
        <w:ind/>
      </w:pPr>
      <w:tblPr>
        <w:tblBorders/>
      </w:tblPr>
      <w:tcPr>
        <w:tcBorders>
          <w:top w:val="single" w:color="000000" w:themeColor="accen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1">
    <w:name w:val="List Table 6 Colorful - Accent 2"/>
    <w:basedOn w:val="32"/>
    <w:uiPriority w:val="99"/>
    <w:pPr>
      <w:pBdr/>
      <w:spacing w:after="0" w:line="240" w:lineRule="auto"/>
      <w:ind/>
    </w:pPr>
    <w:tblPr>
      <w:tblStyleRowBandSize w:val="1"/>
      <w:tblStyleColBandSize w:val="1"/>
      <w:tblInd w:w="0" w:type="dxa"/>
      <w:tblBorders>
        <w:top w:val="single" w:color="000000" w:themeColor="accent2" w:themeTint="97" w:sz="4" w:space="0"/>
        <w:bottom w:val="single" w:color="000000" w:themeColor="accent2" w:themeTint="97" w:sz="4" w:space="0"/>
      </w:tblBorders>
    </w:tblPr>
    <w:tcPr>
      <w:tcBorders/>
    </w:tcPr>
    <w:tblStylePr w:type="band1Horz">
      <w:rPr>
        <w:rFonts w:ascii="Arial" w:hAnsi="Arial"/>
        <w:color w:val="404040" w:themeColor="accent2" w:themeTint="97" w:themeShade="95"/>
        <w:sz w:val="22"/>
      </w:rPr>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rPr>
        <w:rFonts w:ascii="Arial" w:hAnsi="Arial"/>
        <w:color w:val="404040"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9c3a37" w:themeColor="accent2" w:themeTint="97" w:themeShade="95"/>
      </w:rPr>
      <w:pPr>
        <w:pBdr/>
        <w:spacing/>
        <w:ind/>
      </w:pPr>
      <w:tblPr>
        <w:tblBorders/>
      </w:tblPr>
      <w:tcPr>
        <w:tcBorders/>
      </w:tcPr>
    </w:tblStylePr>
    <w:tblStylePr w:type="firstRow">
      <w:rPr>
        <w:b/>
        <w:color w:val="9c3a37" w:themeColor="accent2" w:themeTint="97" w:themeShade="95"/>
      </w:rPr>
      <w:pPr>
        <w:pBdr/>
        <w:spacing/>
        <w:ind/>
      </w:pPr>
      <w:tblPr>
        <w:tblBorders/>
      </w:tblPr>
      <w:tcPr>
        <w:tcBorders>
          <w:bottom w:val="single" w:color="000000" w:themeColor="accent2" w:themeTint="97" w:sz="4" w:space="0"/>
        </w:tcBorders>
      </w:tcPr>
    </w:tblStylePr>
    <w:tblStylePr w:type="lastCol">
      <w:rPr>
        <w:b/>
        <w:color w:val="9c3a37" w:themeColor="accent2" w:themeTint="97" w:themeShade="95"/>
      </w:rPr>
      <w:pPr>
        <w:pBdr/>
        <w:spacing/>
        <w:ind/>
      </w:pPr>
      <w:tblPr>
        <w:tblBorders/>
      </w:tblPr>
      <w:tcPr>
        <w:tcBorders/>
      </w:tcPr>
    </w:tblStylePr>
    <w:tblStylePr w:type="lastRow">
      <w:rPr>
        <w:b/>
        <w:color w:val="9c3a37" w:themeColor="accent2" w:themeTint="97" w:themeShade="95"/>
      </w:rPr>
      <w:pPr>
        <w:pBdr/>
        <w:spacing/>
        <w:ind/>
      </w:pPr>
      <w:tblPr>
        <w:tblBorders/>
      </w:tblPr>
      <w:tcPr>
        <w:tcBorders>
          <w:top w:val="single" w:color="000000"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2">
    <w:name w:val="List Table 6 Colorful - Accent 3"/>
    <w:basedOn w:val="32"/>
    <w:uiPriority w:val="99"/>
    <w:pPr>
      <w:pBdr/>
      <w:spacing w:after="0" w:line="240" w:lineRule="auto"/>
      <w:ind/>
    </w:pPr>
    <w:tblPr>
      <w:tblStyleRowBandSize w:val="1"/>
      <w:tblStyleColBandSize w:val="1"/>
      <w:tblInd w:w="0" w:type="dxa"/>
      <w:tblBorders>
        <w:top w:val="single" w:color="000000" w:themeColor="accent3" w:themeTint="98" w:sz="4" w:space="0"/>
        <w:bottom w:val="single" w:color="000000" w:themeColor="accent3" w:themeTint="98" w:sz="4" w:space="0"/>
      </w:tblBorders>
    </w:tblPr>
    <w:tcPr>
      <w:tcBorders/>
    </w:tcPr>
    <w:tblStylePr w:type="band1Horz">
      <w:rPr>
        <w:rFonts w:ascii="Arial" w:hAnsi="Arial"/>
        <w:color w:val="404040" w:themeColor="accent3" w:themeTint="98" w:themeShade="95"/>
        <w:sz w:val="22"/>
      </w:rPr>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rPr>
        <w:rFonts w:ascii="Arial" w:hAnsi="Arial"/>
        <w:color w:val="404040"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7c983f" w:themeColor="accent3" w:themeTint="98" w:themeShade="95"/>
      </w:rPr>
      <w:pPr>
        <w:pBdr/>
        <w:spacing/>
        <w:ind/>
      </w:pPr>
      <w:tblPr>
        <w:tblBorders/>
      </w:tblPr>
      <w:tcPr>
        <w:tcBorders/>
      </w:tcPr>
    </w:tblStylePr>
    <w:tblStylePr w:type="firstRow">
      <w:rPr>
        <w:b/>
        <w:color w:val="7c983f" w:themeColor="accent3" w:themeTint="98" w:themeShade="95"/>
      </w:rPr>
      <w:pPr>
        <w:pBdr/>
        <w:spacing/>
        <w:ind/>
      </w:pPr>
      <w:tblPr>
        <w:tblBorders/>
      </w:tblPr>
      <w:tcPr>
        <w:tcBorders>
          <w:bottom w:val="single" w:color="000000" w:themeColor="accent3" w:themeTint="98" w:sz="4" w:space="0"/>
        </w:tcBorders>
      </w:tcPr>
    </w:tblStylePr>
    <w:tblStylePr w:type="lastCol">
      <w:rPr>
        <w:b/>
        <w:color w:val="7c983f" w:themeColor="accent3" w:themeTint="98" w:themeShade="95"/>
      </w:rPr>
      <w:pPr>
        <w:pBdr/>
        <w:spacing/>
        <w:ind/>
      </w:pPr>
      <w:tblPr>
        <w:tblBorders/>
      </w:tblPr>
      <w:tcPr>
        <w:tcBorders/>
      </w:tcPr>
    </w:tblStylePr>
    <w:tblStylePr w:type="lastRow">
      <w:rPr>
        <w:b/>
        <w:color w:val="7c983f" w:themeColor="accent3" w:themeTint="98" w:themeShade="95"/>
      </w:rPr>
      <w:pPr>
        <w:pBdr/>
        <w:spacing/>
        <w:ind/>
      </w:pPr>
      <w:tblPr>
        <w:tblBorders/>
      </w:tblPr>
      <w:tcPr>
        <w:tcBorders>
          <w:top w:val="single" w:color="000000" w:themeColor="accent3"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3">
    <w:name w:val="List Table 6 Colorful - Accent 4"/>
    <w:basedOn w:val="32"/>
    <w:uiPriority w:val="99"/>
    <w:pPr>
      <w:pBdr/>
      <w:spacing w:after="0" w:line="240" w:lineRule="auto"/>
      <w:ind/>
    </w:pPr>
    <w:tblPr>
      <w:tblStyleRowBandSize w:val="1"/>
      <w:tblStyleColBandSize w:val="1"/>
      <w:tblInd w:w="0" w:type="dxa"/>
      <w:tblBorders>
        <w:top w:val="single" w:color="000000" w:themeColor="accent4" w:themeTint="9A" w:sz="4" w:space="0"/>
        <w:bottom w:val="single" w:color="000000" w:themeColor="accent4" w:themeTint="9A" w:sz="4" w:space="0"/>
      </w:tblBorders>
    </w:tblPr>
    <w:tcPr>
      <w:tcBorders/>
    </w:tcPr>
    <w:tblStylePr w:type="band1Horz">
      <w:rPr>
        <w:rFonts w:ascii="Arial" w:hAnsi="Arial"/>
        <w:color w:val="404040" w:themeColor="accent4" w:themeTint="9A" w:themeShade="95"/>
        <w:sz w:val="22"/>
      </w:rPr>
      <w:pPr>
        <w:pBdr/>
        <w:spacing/>
        <w:ind/>
      </w:pPr>
      <w:tblPr>
        <w:tblBorders/>
      </w:tblPr>
      <w:tcPr>
        <w:shd w:val="clear" w:color="ffffff" w:themeColor="accent4" w:themeTint="40" w:fill="dfd8e7" w:themeFill="accent4" w:themeFillTint="40"/>
        <w:tcBorders/>
      </w:tcPr>
    </w:tblStylePr>
    <w:tblStylePr w:type="band1Vert">
      <w:pPr>
        <w:pBdr/>
        <w:spacing/>
        <w:ind/>
      </w:pPr>
      <w:tblPr>
        <w:tblBorders/>
      </w:tblPr>
      <w:tcPr>
        <w:shd w:val="clear" w:color="ffffff" w:themeColor="accent4" w:themeTint="40" w:fill="dfd8e7" w:themeFill="accent4" w:themeFillTint="40"/>
        <w:tcBorders/>
      </w:tcPr>
    </w:tblStylePr>
    <w:tblStylePr w:type="band2Horz">
      <w:rPr>
        <w:rFonts w:ascii="Arial" w:hAnsi="Arial"/>
        <w:color w:val="40404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664f82" w:themeColor="accent4" w:themeTint="9A" w:themeShade="95"/>
      </w:rPr>
      <w:pPr>
        <w:pBdr/>
        <w:spacing/>
        <w:ind/>
      </w:pPr>
      <w:tblPr>
        <w:tblBorders/>
      </w:tblPr>
      <w:tcPr>
        <w:tcBorders/>
      </w:tcPr>
    </w:tblStylePr>
    <w:tblStylePr w:type="firstRow">
      <w:rPr>
        <w:b/>
        <w:color w:val="664f82" w:themeColor="accent4" w:themeTint="9A" w:themeShade="95"/>
      </w:rPr>
      <w:pPr>
        <w:pBdr/>
        <w:spacing/>
        <w:ind/>
      </w:pPr>
      <w:tblPr>
        <w:tblBorders/>
      </w:tblPr>
      <w:tcPr>
        <w:tcBorders>
          <w:bottom w:val="single" w:color="000000" w:themeColor="accent4" w:themeTint="9A" w:sz="4" w:space="0"/>
        </w:tcBorders>
      </w:tcPr>
    </w:tblStylePr>
    <w:tblStylePr w:type="lastCol">
      <w:rPr>
        <w:b/>
        <w:color w:val="664f82" w:themeColor="accent4" w:themeTint="9A" w:themeShade="95"/>
      </w:rPr>
      <w:pPr>
        <w:pBdr/>
        <w:spacing/>
        <w:ind/>
      </w:pPr>
      <w:tblPr>
        <w:tblBorders/>
      </w:tblPr>
      <w:tcPr>
        <w:tcBorders/>
      </w:tcPr>
    </w:tblStylePr>
    <w:tblStylePr w:type="lastRow">
      <w:rPr>
        <w:b/>
        <w:color w:val="664f82" w:themeColor="accent4" w:themeTint="9A" w:themeShade="95"/>
      </w:rPr>
      <w:pPr>
        <w:pBdr/>
        <w:spacing/>
        <w:ind/>
      </w:pPr>
      <w:tblPr>
        <w:tblBorders/>
      </w:tblPr>
      <w:tcPr>
        <w:tcBorders>
          <w:top w:val="single" w:color="000000"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4">
    <w:name w:val="List Table 6 Colorful - Accent 5"/>
    <w:basedOn w:val="32"/>
    <w:uiPriority w:val="99"/>
    <w:pPr>
      <w:pBdr/>
      <w:spacing w:after="0" w:line="240" w:lineRule="auto"/>
      <w:ind/>
    </w:pPr>
    <w:tblPr>
      <w:tblStyleRowBandSize w:val="1"/>
      <w:tblStyleColBandSize w:val="1"/>
      <w:tblInd w:w="0" w:type="dxa"/>
      <w:tblBorders>
        <w:top w:val="single" w:color="000000" w:themeColor="accent5" w:themeTint="9A" w:sz="4" w:space="0"/>
        <w:bottom w:val="single" w:color="000000" w:themeColor="accent5" w:themeTint="9A" w:sz="4" w:space="0"/>
      </w:tblBorders>
    </w:tblPr>
    <w:tcPr>
      <w:tcBorders/>
    </w:tcPr>
    <w:tblStylePr w:type="band1Horz">
      <w:rPr>
        <w:rFonts w:ascii="Arial" w:hAnsi="Arial"/>
        <w:color w:val="404040" w:themeColor="accent5" w:themeTint="9A" w:themeShade="95"/>
        <w:sz w:val="22"/>
      </w:rPr>
      <w:pPr>
        <w:pBdr/>
        <w:spacing/>
        <w:ind/>
      </w:pPr>
      <w:tblPr>
        <w:tblBorders/>
      </w:tblPr>
      <w:tcPr>
        <w:shd w:val="clear" w:color="ffffff" w:themeColor="accent5" w:themeTint="40" w:fill="d1eaf0" w:themeFill="accent5" w:themeFillTint="40"/>
        <w:tcBorders/>
      </w:tcPr>
    </w:tblStylePr>
    <w:tblStylePr w:type="band1Vert">
      <w:pPr>
        <w:pBdr/>
        <w:spacing/>
        <w:ind/>
      </w:pPr>
      <w:tblPr>
        <w:tblBorders/>
      </w:tblPr>
      <w:tcPr>
        <w:shd w:val="clear" w:color="ffffff" w:themeColor="accent5" w:themeTint="40" w:fill="d1eaf0" w:themeFill="accent5" w:themeFillTint="40"/>
        <w:tcBorders/>
      </w:tcPr>
    </w:tblStylePr>
    <w:tblStylePr w:type="band2Horz">
      <w:rPr>
        <w:rFonts w:ascii="Arial" w:hAnsi="Arial"/>
        <w:color w:val="404040"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338aa0" w:themeColor="accent5" w:themeTint="9A" w:themeShade="95"/>
      </w:rPr>
      <w:pPr>
        <w:pBdr/>
        <w:spacing/>
        <w:ind/>
      </w:pPr>
      <w:tblPr>
        <w:tblBorders/>
      </w:tblPr>
      <w:tcPr>
        <w:tcBorders/>
      </w:tcPr>
    </w:tblStylePr>
    <w:tblStylePr w:type="firstRow">
      <w:rPr>
        <w:b/>
        <w:color w:val="338aa0" w:themeColor="accent5" w:themeTint="9A" w:themeShade="95"/>
      </w:rPr>
      <w:pPr>
        <w:pBdr/>
        <w:spacing/>
        <w:ind/>
      </w:pPr>
      <w:tblPr>
        <w:tblBorders/>
      </w:tblPr>
      <w:tcPr>
        <w:tcBorders>
          <w:bottom w:val="single" w:color="000000" w:themeColor="accent5" w:themeTint="9A" w:sz="4" w:space="0"/>
        </w:tcBorders>
      </w:tcPr>
    </w:tblStylePr>
    <w:tblStylePr w:type="lastCol">
      <w:rPr>
        <w:b/>
        <w:color w:val="338aa0" w:themeColor="accent5" w:themeTint="9A" w:themeShade="95"/>
      </w:rPr>
      <w:pPr>
        <w:pBdr/>
        <w:spacing/>
        <w:ind/>
      </w:pPr>
      <w:tblPr>
        <w:tblBorders/>
      </w:tblPr>
      <w:tcPr>
        <w:tcBorders/>
      </w:tcPr>
    </w:tblStylePr>
    <w:tblStylePr w:type="lastRow">
      <w:rPr>
        <w:b/>
        <w:color w:val="338aa0" w:themeColor="accent5" w:themeTint="9A" w:themeShade="95"/>
      </w:rPr>
      <w:pPr>
        <w:pBdr/>
        <w:spacing/>
        <w:ind/>
      </w:pPr>
      <w:tblPr>
        <w:tblBorders/>
      </w:tblPr>
      <w:tcPr>
        <w:tcBorders>
          <w:top w:val="single" w:color="000000" w:themeColor="accent5"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5">
    <w:name w:val="List Table 6 Colorful - Accent 6"/>
    <w:basedOn w:val="32"/>
    <w:uiPriority w:val="99"/>
    <w:pPr>
      <w:pBdr/>
      <w:spacing w:after="0" w:line="240" w:lineRule="auto"/>
      <w:ind/>
    </w:pPr>
    <w:tblPr>
      <w:tblStyleRowBandSize w:val="1"/>
      <w:tblStyleColBandSize w:val="1"/>
      <w:tblInd w:w="0" w:type="dxa"/>
      <w:tblBorders>
        <w:top w:val="single" w:color="000000" w:themeColor="accent6" w:themeTint="98" w:sz="4" w:space="0"/>
        <w:bottom w:val="single" w:color="000000" w:themeColor="accent6" w:themeTint="98" w:sz="4" w:space="0"/>
      </w:tblBorders>
    </w:tblPr>
    <w:tcPr>
      <w:tcBorders/>
    </w:tcPr>
    <w:tblStylePr w:type="band1Horz">
      <w:rPr>
        <w:rFonts w:ascii="Arial" w:hAnsi="Arial"/>
        <w:color w:val="404040" w:themeColor="accent6" w:themeTint="98" w:themeShade="95"/>
        <w:sz w:val="22"/>
      </w:rPr>
      <w:pPr>
        <w:pBdr/>
        <w:spacing/>
        <w:ind/>
      </w:pPr>
      <w:tblPr>
        <w:tblBorders/>
      </w:tblPr>
      <w:tcPr>
        <w:shd w:val="clear" w:color="ffffff" w:themeColor="accent6" w:themeTint="40" w:fill="fce4d1" w:themeFill="accent6" w:themeFillTint="40"/>
        <w:tcBorders/>
      </w:tcPr>
    </w:tblStylePr>
    <w:tblStylePr w:type="band1Vert">
      <w:pPr>
        <w:pBdr/>
        <w:spacing/>
        <w:ind/>
      </w:pPr>
      <w:tblPr>
        <w:tblBorders/>
      </w:tblPr>
      <w:tcPr>
        <w:shd w:val="clear" w:color="ffffff" w:themeColor="accent6" w:themeTint="40" w:fill="fce4d1" w:themeFill="accent6" w:themeFillTint="40"/>
        <w:tcBorders/>
      </w:tcPr>
    </w:tblStylePr>
    <w:tblStylePr w:type="band2Horz">
      <w:rPr>
        <w:rFonts w:ascii="Arial" w:hAnsi="Arial"/>
        <w:color w:val="404040"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d9680c" w:themeColor="accent6" w:themeTint="98" w:themeShade="95"/>
      </w:rPr>
      <w:pPr>
        <w:pBdr/>
        <w:spacing/>
        <w:ind/>
      </w:pPr>
      <w:tblPr>
        <w:tblBorders/>
      </w:tblPr>
      <w:tcPr>
        <w:tcBorders/>
      </w:tcPr>
    </w:tblStylePr>
    <w:tblStylePr w:type="firstRow">
      <w:rPr>
        <w:b/>
        <w:color w:val="d9680c" w:themeColor="accent6" w:themeTint="98" w:themeShade="95"/>
      </w:rPr>
      <w:pPr>
        <w:pBdr/>
        <w:spacing/>
        <w:ind/>
      </w:pPr>
      <w:tblPr>
        <w:tblBorders/>
      </w:tblPr>
      <w:tcPr>
        <w:tcBorders>
          <w:bottom w:val="single" w:color="000000" w:themeColor="accent6" w:themeTint="98" w:sz="4" w:space="0"/>
        </w:tcBorders>
      </w:tcPr>
    </w:tblStylePr>
    <w:tblStylePr w:type="lastCol">
      <w:rPr>
        <w:b/>
        <w:color w:val="d9680c" w:themeColor="accent6" w:themeTint="98" w:themeShade="95"/>
      </w:rPr>
      <w:pPr>
        <w:pBdr/>
        <w:spacing/>
        <w:ind/>
      </w:pPr>
      <w:tblPr>
        <w:tblBorders/>
      </w:tblPr>
      <w:tcPr>
        <w:tcBorders/>
      </w:tcPr>
    </w:tblStylePr>
    <w:tblStylePr w:type="lastRow">
      <w:rPr>
        <w:b/>
        <w:color w:val="d9680c" w:themeColor="accent6" w:themeTint="98" w:themeShade="95"/>
      </w:rPr>
      <w:pPr>
        <w:pBdr/>
        <w:spacing/>
        <w:ind/>
      </w:pPr>
      <w:tblPr>
        <w:tblBorders/>
      </w:tblPr>
      <w:tcPr>
        <w:tcBorders>
          <w:top w:val="single" w:color="000000" w:themeColor="accent6"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6">
    <w:name w:val="List Table 7 Colorful"/>
    <w:basedOn w:val="32"/>
    <w:uiPriority w:val="99"/>
    <w:pPr>
      <w:pBdr/>
      <w:spacing w:after="0" w:line="240" w:lineRule="auto"/>
      <w:ind/>
    </w:pPr>
    <w:tblPr>
      <w:tblStyleRowBandSize w:val="1"/>
      <w:tblStyleColBandSize w:val="1"/>
      <w:tblInd w:w="0" w:type="dxa"/>
      <w:tblBorders>
        <w:right w:val="single" w:color="000000" w:themeColor="text1" w:themeTint="80" w:sz="4" w:space="0"/>
      </w:tblBorders>
    </w:tblPr>
    <w:tcPr>
      <w:tcBorders/>
    </w:tcPr>
    <w:tblStylePr w:type="band1Horz">
      <w:rPr>
        <w:rFonts w:ascii="Arial" w:hAnsi="Arial"/>
        <w:color w:val="4a4a4a" w:themeColor="text1" w:themeTint="80" w:themeShade="95"/>
        <w:sz w:val="22"/>
      </w:rPr>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rPr>
        <w:rFonts w:ascii="Arial" w:hAnsi="Arial"/>
        <w:color w:val="4a4a4a"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a4a4a" w:themeColor="text1" w:themeTint="80" w:themeShade="95"/>
        <w:sz w:val="22"/>
      </w:rPr>
      <w:pPr>
        <w:pBdr/>
        <w:spacing/>
        <w:ind/>
        <w:jc w:val="right"/>
      </w:pPr>
      <w:tblPr>
        <w:tblBorders/>
      </w:tblPr>
      <w:tcPr>
        <w:shd w:color="ffffff"/>
        <w:tcBorders>
          <w:top w:val="none"/>
          <w:left w:val="none"/>
          <w:bottom w:val="none"/>
          <w:right w:val="single" w:color="000000" w:themeColor="text1" w:themeTint="80" w:sz="4" w:space="0"/>
        </w:tcBorders>
      </w:tcPr>
    </w:tblStylePr>
    <w:tblStylePr w:type="firstRow">
      <w:rPr>
        <w:rFonts w:ascii="Arial" w:hAnsi="Arial"/>
        <w:i/>
        <w:color w:val="4a4a4a" w:themeColor="text1" w:themeTint="80" w:themeShade="95"/>
        <w:sz w:val="22"/>
      </w:rPr>
      <w:pPr>
        <w:pBdr/>
        <w:spacing/>
        <w:ind/>
      </w:pPr>
      <w:tblPr>
        <w:tblBorders/>
      </w:tbl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pPr>
        <w:pBdr/>
        <w:spacing/>
        <w:ind/>
      </w:pPr>
      <w:tblPr>
        <w:tblBorders/>
      </w:tblPr>
      <w:tcPr>
        <w:shd w:color="ffffff"/>
        <w:tcBorders>
          <w:top w:val="none"/>
          <w:left w:val="single" w:color="000000" w:themeColor="text1" w:themeTint="80" w:sz="4" w:space="0"/>
          <w:bottom w:val="none"/>
          <w:right w:val="none"/>
        </w:tcBorders>
      </w:tcPr>
    </w:tblStylePr>
    <w:tblStylePr w:type="lastRow">
      <w:rPr>
        <w:rFonts w:ascii="Arial" w:hAnsi="Arial"/>
        <w:i/>
        <w:color w:val="4a4a4a" w:themeColor="text1" w:themeTint="80" w:themeShade="95"/>
        <w:sz w:val="22"/>
      </w:rPr>
      <w:pPr>
        <w:pBdr/>
        <w:spacing/>
        <w:ind/>
      </w:pPr>
      <w:tblPr>
        <w:tblBorders/>
      </w:tblPr>
      <w:tcPr>
        <w:shd w:val="clear" w:color="ffffff" w:themeColor="light1" w:fill="ffffff" w:themeFill="light1"/>
        <w:tcBorders>
          <w:top w:val="single" w:color="000000" w:themeColor="tex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a4a4a" w:themeColor="text1" w:themeTint="80" w:themeShade="95"/>
        <w:sz w:val="22"/>
      </w:rPr>
      <w:pPr>
        <w:pBdr/>
        <w:spacing/>
        <w:ind/>
      </w:pPr>
      <w:tblPr>
        <w:tblBorders/>
      </w:tblPr>
      <w:tcPr>
        <w:tcBorders/>
      </w:tcPr>
    </w:tblStylePr>
  </w:style>
  <w:style w:type="table" w:styleId="147">
    <w:name w:val="List Table 7 Colorful - Accent 1"/>
    <w:basedOn w:val="32"/>
    <w:uiPriority w:val="99"/>
    <w:pPr>
      <w:pBdr/>
      <w:spacing w:after="0" w:line="240" w:lineRule="auto"/>
      <w:ind/>
    </w:pPr>
    <w:tblPr>
      <w:tblStyleRowBandSize w:val="1"/>
      <w:tblStyleColBandSize w:val="1"/>
      <w:tblInd w:w="0" w:type="dxa"/>
      <w:tblBorders>
        <w:right w:val="single" w:color="000000" w:themeColor="accent1" w:sz="4" w:space="0"/>
      </w:tblBorders>
    </w:tblPr>
    <w:tcPr>
      <w:tcBorders/>
    </w:tcPr>
    <w:tblStylePr w:type="band1Horz">
      <w:rPr>
        <w:rFonts w:ascii="Arial" w:hAnsi="Arial"/>
        <w:color w:val="2a4b71" w:themeColor="accent1" w:themeShade="95"/>
        <w:sz w:val="22"/>
      </w:rPr>
      <w:pPr>
        <w:pBdr/>
        <w:spacing/>
        <w:ind/>
      </w:pPr>
      <w:tblPr>
        <w:tblBorders/>
      </w:tblPr>
      <w:tcPr>
        <w:shd w:val="clear" w:color="ffffff" w:themeColor="accent1" w:themeTint="40" w:fill="d3e0ee" w:themeFill="accent1" w:themeFillTint="40"/>
        <w:tcBorders/>
      </w:tcPr>
    </w:tblStylePr>
    <w:tblStylePr w:type="band1Vert">
      <w:pPr>
        <w:pBdr/>
        <w:spacing/>
        <w:ind/>
      </w:pPr>
      <w:tblPr>
        <w:tblBorders/>
      </w:tblPr>
      <w:tcPr>
        <w:shd w:val="clear" w:color="ffffff" w:themeColor="accent1" w:themeTint="40" w:fill="d3e0ee" w:themeFill="accent1" w:themeFillTint="40"/>
        <w:tcBorders/>
      </w:tcPr>
    </w:tblStylePr>
    <w:tblStylePr w:type="band2Horz">
      <w:rPr>
        <w:rFonts w:ascii="Arial" w:hAnsi="Arial"/>
        <w:color w:val="2a4b71"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a4b71" w:themeColor="accent1" w:themeShade="95"/>
        <w:sz w:val="22"/>
      </w:rPr>
      <w:pPr>
        <w:pBdr/>
        <w:spacing/>
        <w:ind/>
        <w:jc w:val="right"/>
      </w:pPr>
      <w:tblPr>
        <w:tblBorders/>
      </w:tblPr>
      <w:tcPr>
        <w:shd w:color="ffffff"/>
        <w:tcBorders>
          <w:top w:val="none"/>
          <w:left w:val="none"/>
          <w:bottom w:val="none"/>
          <w:right w:val="single" w:color="000000" w:themeColor="accent1" w:sz="4" w:space="0"/>
        </w:tcBorders>
      </w:tcPr>
    </w:tblStylePr>
    <w:tblStylePr w:type="firstRow">
      <w:rPr>
        <w:rFonts w:ascii="Arial" w:hAnsi="Arial"/>
        <w:i/>
        <w:color w:val="2a4b71" w:themeColor="accent1" w:themeShade="95"/>
        <w:sz w:val="22"/>
      </w:rPr>
      <w:pPr>
        <w:pBdr/>
        <w:spacing/>
        <w:ind/>
      </w:pPr>
      <w:tblPr>
        <w:tblBorders/>
      </w:tblPr>
      <w:tcPr>
        <w:shd w:val="clear" w:color="ffffff" w:themeColor="light1" w:fill="ffffff" w:themeFill="light1"/>
        <w:tcBorders>
          <w:top w:val="none"/>
          <w:left w:val="none"/>
          <w:bottom w:val="single" w:color="000000" w:themeColor="accent1" w:sz="4" w:space="0"/>
          <w:right w:val="none"/>
        </w:tcBorders>
      </w:tcPr>
    </w:tblStylePr>
    <w:tblStylePr w:type="lastCol">
      <w:rPr>
        <w:rFonts w:ascii="Arial" w:hAnsi="Arial"/>
        <w:i/>
        <w:color w:val="2a4b71" w:themeColor="accent1" w:themeShade="95"/>
        <w:sz w:val="22"/>
      </w:rPr>
      <w:pPr>
        <w:pBdr/>
        <w:spacing/>
        <w:ind/>
      </w:pPr>
      <w:tblPr>
        <w:tblBorders/>
      </w:tblPr>
      <w:tcPr>
        <w:shd w:color="ffffff"/>
        <w:tcBorders>
          <w:top w:val="none"/>
          <w:left w:val="single" w:color="000000" w:themeColor="accent1" w:sz="4" w:space="0"/>
          <w:bottom w:val="none"/>
          <w:right w:val="none"/>
        </w:tcBorders>
      </w:tcPr>
    </w:tblStylePr>
    <w:tblStylePr w:type="lastRow">
      <w:rPr>
        <w:rFonts w:ascii="Arial" w:hAnsi="Arial"/>
        <w:i/>
        <w:color w:val="2a4b71" w:themeColor="accent1" w:themeShade="95"/>
        <w:sz w:val="22"/>
      </w:rPr>
      <w:pPr>
        <w:pBdr/>
        <w:spacing/>
        <w:ind/>
      </w:pPr>
      <w:tblPr>
        <w:tblBorders/>
      </w:tblPr>
      <w:tcPr>
        <w:shd w:val="clear" w:color="ffffff" w:themeColor="light1" w:fill="ffffff" w:themeFill="light1"/>
        <w:tcBorders>
          <w:top w:val="single" w:color="000000" w:themeColor="accent1"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2a4b71" w:themeColor="accent1" w:themeShade="95"/>
        <w:sz w:val="22"/>
      </w:rPr>
      <w:pPr>
        <w:pBdr/>
        <w:spacing/>
        <w:ind/>
      </w:pPr>
      <w:tblPr>
        <w:tblBorders/>
      </w:tblPr>
      <w:tcPr>
        <w:tcBorders/>
      </w:tcPr>
    </w:tblStylePr>
  </w:style>
  <w:style w:type="table" w:styleId="148">
    <w:name w:val="List Table 7 Colorful - Accent 2"/>
    <w:basedOn w:val="32"/>
    <w:uiPriority w:val="99"/>
    <w:pPr>
      <w:pBdr/>
      <w:spacing w:after="0" w:line="240" w:lineRule="auto"/>
      <w:ind/>
    </w:pPr>
    <w:tblPr>
      <w:tblStyleRowBandSize w:val="1"/>
      <w:tblStyleColBandSize w:val="1"/>
      <w:tblInd w:w="0" w:type="dxa"/>
      <w:tblBorders>
        <w:right w:val="single" w:color="000000" w:themeColor="accent2" w:themeTint="97" w:sz="4" w:space="0"/>
      </w:tblBorders>
    </w:tblPr>
    <w:tcPr>
      <w:tcBorders/>
    </w:tcPr>
    <w:tblStylePr w:type="band1Horz">
      <w:rPr>
        <w:rFonts w:ascii="Arial" w:hAnsi="Arial"/>
        <w:color w:val="9c3a37" w:themeColor="accent2" w:themeTint="97" w:themeShade="95"/>
        <w:sz w:val="22"/>
      </w:rPr>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rPr>
        <w:rFonts w:ascii="Arial" w:hAnsi="Arial"/>
        <w:color w:val="9c3a37"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9c3a37" w:themeColor="accent2" w:themeTint="97" w:themeShade="95"/>
        <w:sz w:val="22"/>
      </w:rPr>
      <w:pPr>
        <w:pBdr/>
        <w:spacing/>
        <w:ind/>
        <w:jc w:val="right"/>
      </w:pPr>
      <w:tblPr>
        <w:tblBorders/>
      </w:tblPr>
      <w:tcPr>
        <w:shd w:color="ffffff"/>
        <w:tcBorders>
          <w:top w:val="none"/>
          <w:left w:val="none"/>
          <w:bottom w:val="none"/>
          <w:right w:val="single" w:color="000000" w:themeColor="accent2" w:themeTint="97" w:sz="4" w:space="0"/>
        </w:tcBorders>
      </w:tcPr>
    </w:tblStylePr>
    <w:tblStylePr w:type="firstRow">
      <w:rPr>
        <w:rFonts w:ascii="Arial" w:hAnsi="Arial"/>
        <w:i/>
        <w:color w:val="9c3a37" w:themeColor="accent2" w:themeTint="97" w:themeShade="95"/>
        <w:sz w:val="22"/>
      </w:rPr>
      <w:pPr>
        <w:pBdr/>
        <w:spacing/>
        <w:ind/>
      </w:pPr>
      <w:tblPr>
        <w:tblBorders/>
      </w:tbl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9c3a37" w:themeColor="accent2" w:themeTint="97" w:themeShade="95"/>
        <w:sz w:val="22"/>
      </w:rPr>
      <w:pPr>
        <w:pBdr/>
        <w:spacing/>
        <w:ind/>
      </w:pPr>
      <w:tblPr>
        <w:tblBorders/>
      </w:tblPr>
      <w:tcPr>
        <w:shd w:color="ffffff"/>
        <w:tcBorders>
          <w:top w:val="none"/>
          <w:left w:val="single" w:color="000000" w:themeColor="accent2" w:themeTint="97" w:sz="4" w:space="0"/>
          <w:bottom w:val="none"/>
          <w:right w:val="none"/>
        </w:tcBorders>
      </w:tcPr>
    </w:tblStylePr>
    <w:tblStylePr w:type="lastRow">
      <w:rPr>
        <w:rFonts w:ascii="Arial" w:hAnsi="Arial"/>
        <w:i/>
        <w:color w:val="9c3a37" w:themeColor="accent2" w:themeTint="97" w:themeShade="95"/>
        <w:sz w:val="22"/>
      </w:rPr>
      <w:pPr>
        <w:pBdr/>
        <w:spacing/>
        <w:ind/>
      </w:pPr>
      <w:tblPr>
        <w:tblBorders/>
      </w:tblPr>
      <w:tcPr>
        <w:shd w:val="clear" w:color="ffffff" w:themeColor="light1" w:fill="ffffff" w:themeFill="light1"/>
        <w:tcBorders>
          <w:top w:val="single" w:color="000000" w:themeColor="accent2" w:themeTint="97"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9c3a37" w:themeColor="accent2" w:themeTint="97" w:themeShade="95"/>
        <w:sz w:val="22"/>
      </w:rPr>
      <w:pPr>
        <w:pBdr/>
        <w:spacing/>
        <w:ind/>
      </w:pPr>
      <w:tblPr>
        <w:tblBorders/>
      </w:tblPr>
      <w:tcPr>
        <w:tcBorders/>
      </w:tcPr>
    </w:tblStylePr>
  </w:style>
  <w:style w:type="table" w:styleId="149">
    <w:name w:val="List Table 7 Colorful - Accent 3"/>
    <w:basedOn w:val="32"/>
    <w:uiPriority w:val="99"/>
    <w:pPr>
      <w:pBdr/>
      <w:spacing w:after="0" w:line="240" w:lineRule="auto"/>
      <w:ind/>
    </w:pPr>
    <w:tblPr>
      <w:tblStyleRowBandSize w:val="1"/>
      <w:tblStyleColBandSize w:val="1"/>
      <w:tblInd w:w="0" w:type="dxa"/>
      <w:tblBorders>
        <w:right w:val="single" w:color="000000" w:themeColor="accent3" w:themeTint="98" w:sz="4" w:space="0"/>
      </w:tblBorders>
    </w:tblPr>
    <w:tcPr>
      <w:tcBorders/>
    </w:tcPr>
    <w:tblStylePr w:type="band1Horz">
      <w:rPr>
        <w:rFonts w:ascii="Arial" w:hAnsi="Arial"/>
        <w:color w:val="7c983f" w:themeColor="accent3" w:themeTint="98" w:themeShade="95"/>
        <w:sz w:val="22"/>
      </w:rPr>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rPr>
        <w:rFonts w:ascii="Arial" w:hAnsi="Arial"/>
        <w:color w:val="7c983f"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7c983f" w:themeColor="accent3" w:themeTint="98" w:themeShade="95"/>
        <w:sz w:val="22"/>
      </w:rPr>
      <w:pPr>
        <w:pBdr/>
        <w:spacing/>
        <w:ind/>
        <w:jc w:val="right"/>
      </w:pPr>
      <w:tblPr>
        <w:tblBorders/>
      </w:tblPr>
      <w:tcPr>
        <w:shd w:color="ffffff"/>
        <w:tcBorders>
          <w:top w:val="none"/>
          <w:left w:val="none"/>
          <w:bottom w:val="none"/>
          <w:right w:val="single" w:color="000000" w:themeColor="accent3" w:themeTint="98" w:sz="4" w:space="0"/>
        </w:tcBorders>
      </w:tcPr>
    </w:tblStylePr>
    <w:tblStylePr w:type="firstRow">
      <w:rPr>
        <w:rFonts w:ascii="Arial" w:hAnsi="Arial"/>
        <w:i/>
        <w:color w:val="7c983f" w:themeColor="accent3" w:themeTint="98" w:themeShade="95"/>
        <w:sz w:val="22"/>
      </w:rPr>
      <w:pPr>
        <w:pBdr/>
        <w:spacing/>
        <w:ind/>
      </w:pPr>
      <w:tblPr>
        <w:tblBorders/>
      </w:tblPr>
      <w:tcPr>
        <w:shd w:val="clear" w:color="ffffff" w:themeColor="light1" w:fill="ffffff" w:themeFill="light1"/>
        <w:tcBorders>
          <w:top w:val="none"/>
          <w:left w:val="none"/>
          <w:bottom w:val="single" w:color="000000" w:themeColor="accent3" w:themeTint="98" w:sz="4" w:space="0"/>
          <w:right w:val="none"/>
        </w:tcBorders>
      </w:tcPr>
    </w:tblStylePr>
    <w:tblStylePr w:type="lastCol">
      <w:rPr>
        <w:rFonts w:ascii="Arial" w:hAnsi="Arial"/>
        <w:i/>
        <w:color w:val="7c983f" w:themeColor="accent3" w:themeTint="98" w:themeShade="95"/>
        <w:sz w:val="22"/>
      </w:rPr>
      <w:pPr>
        <w:pBdr/>
        <w:spacing/>
        <w:ind/>
      </w:pPr>
      <w:tblPr>
        <w:tblBorders/>
      </w:tblPr>
      <w:tcPr>
        <w:shd w:color="ffffff"/>
        <w:tcBorders>
          <w:top w:val="none"/>
          <w:left w:val="single" w:color="000000" w:themeColor="accent3" w:themeTint="98" w:sz="4" w:space="0"/>
          <w:bottom w:val="none"/>
          <w:right w:val="none"/>
        </w:tcBorders>
      </w:tcPr>
    </w:tblStylePr>
    <w:tblStylePr w:type="lastRow">
      <w:rPr>
        <w:rFonts w:ascii="Arial" w:hAnsi="Arial"/>
        <w:i/>
        <w:color w:val="7c983f" w:themeColor="accent3" w:themeTint="98" w:themeShade="95"/>
        <w:sz w:val="22"/>
      </w:rPr>
      <w:pPr>
        <w:pBdr/>
        <w:spacing/>
        <w:ind/>
      </w:pPr>
      <w:tblPr>
        <w:tblBorders/>
      </w:tblPr>
      <w:tcPr>
        <w:shd w:val="clear" w:color="ffffff" w:themeColor="light1" w:fill="ffffff" w:themeFill="light1"/>
        <w:tcBorders>
          <w:top w:val="single" w:color="000000" w:themeColor="accent3" w:themeTint="98"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7c983f" w:themeColor="accent3" w:themeTint="98" w:themeShade="95"/>
        <w:sz w:val="22"/>
      </w:rPr>
      <w:pPr>
        <w:pBdr/>
        <w:spacing/>
        <w:ind/>
      </w:pPr>
      <w:tblPr>
        <w:tblBorders/>
      </w:tblPr>
      <w:tcPr>
        <w:tcBorders/>
      </w:tcPr>
    </w:tblStylePr>
  </w:style>
  <w:style w:type="table" w:styleId="150">
    <w:name w:val="List Table 7 Colorful - Accent 4"/>
    <w:basedOn w:val="32"/>
    <w:uiPriority w:val="99"/>
    <w:pPr>
      <w:pBdr/>
      <w:spacing w:after="0" w:line="240" w:lineRule="auto"/>
      <w:ind/>
    </w:pPr>
    <w:tblPr>
      <w:tblStyleRowBandSize w:val="1"/>
      <w:tblStyleColBandSize w:val="1"/>
      <w:tblInd w:w="0" w:type="dxa"/>
      <w:tblBorders>
        <w:right w:val="single" w:color="000000" w:themeColor="accent4" w:themeTint="9A" w:sz="4" w:space="0"/>
      </w:tblBorders>
    </w:tblPr>
    <w:tcPr>
      <w:tcBorders/>
    </w:tcPr>
    <w:tblStylePr w:type="band1Horz">
      <w:rPr>
        <w:rFonts w:ascii="Arial" w:hAnsi="Arial"/>
        <w:color w:val="664f82" w:themeColor="accent4" w:themeTint="9A" w:themeShade="95"/>
        <w:sz w:val="22"/>
      </w:rPr>
      <w:pPr>
        <w:pBdr/>
        <w:spacing/>
        <w:ind/>
      </w:pPr>
      <w:tblPr>
        <w:tblBorders/>
      </w:tblPr>
      <w:tcPr>
        <w:shd w:val="clear" w:color="ffffff" w:themeColor="accent4" w:themeTint="40" w:fill="dfd8e7" w:themeFill="accent4" w:themeFillTint="40"/>
        <w:tcBorders/>
      </w:tcPr>
    </w:tblStylePr>
    <w:tblStylePr w:type="band1Vert">
      <w:pPr>
        <w:pBdr/>
        <w:spacing/>
        <w:ind/>
      </w:pPr>
      <w:tblPr>
        <w:tblBorders/>
      </w:tblPr>
      <w:tcPr>
        <w:shd w:val="clear" w:color="ffffff" w:themeColor="accent4" w:themeTint="40" w:fill="dfd8e7" w:themeFill="accent4" w:themeFillTint="40"/>
        <w:tcBorders/>
      </w:tcPr>
    </w:tblStylePr>
    <w:tblStylePr w:type="band2Horz">
      <w:rPr>
        <w:rFonts w:ascii="Arial" w:hAnsi="Arial"/>
        <w:color w:val="664f82"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664f82" w:themeColor="accent4" w:themeTint="9A" w:themeShade="95"/>
        <w:sz w:val="22"/>
      </w:rPr>
      <w:pPr>
        <w:pBdr/>
        <w:spacing/>
        <w:ind/>
        <w:jc w:val="right"/>
      </w:pPr>
      <w:tblPr>
        <w:tblBorders/>
      </w:tblPr>
      <w:tcPr>
        <w:shd w:color="ffffff"/>
        <w:tcBorders>
          <w:top w:val="none"/>
          <w:left w:val="none"/>
          <w:bottom w:val="none"/>
          <w:right w:val="single" w:color="000000" w:themeColor="accent4" w:themeTint="9A" w:sz="4" w:space="0"/>
        </w:tcBorders>
      </w:tcPr>
    </w:tblStylePr>
    <w:tblStylePr w:type="firstRow">
      <w:rPr>
        <w:rFonts w:ascii="Arial" w:hAnsi="Arial"/>
        <w:i/>
        <w:color w:val="664f82" w:themeColor="accent4" w:themeTint="9A" w:themeShade="95"/>
        <w:sz w:val="22"/>
      </w:rPr>
      <w:pPr>
        <w:pBdr/>
        <w:spacing/>
        <w:ind/>
      </w:pPr>
      <w:tblPr>
        <w:tblBorders/>
      </w:tbl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664f82" w:themeColor="accent4" w:themeTint="9A" w:themeShade="95"/>
        <w:sz w:val="22"/>
      </w:rPr>
      <w:pPr>
        <w:pBdr/>
        <w:spacing/>
        <w:ind/>
      </w:pPr>
      <w:tblPr>
        <w:tblBorders/>
      </w:tblPr>
      <w:tcPr>
        <w:shd w:color="ffffff"/>
        <w:tcBorders>
          <w:top w:val="none"/>
          <w:left w:val="single" w:color="000000" w:themeColor="accent4" w:themeTint="9A" w:sz="4" w:space="0"/>
          <w:bottom w:val="none"/>
          <w:right w:val="none"/>
        </w:tcBorders>
      </w:tcPr>
    </w:tblStylePr>
    <w:tblStylePr w:type="lastRow">
      <w:rPr>
        <w:rFonts w:ascii="Arial" w:hAnsi="Arial"/>
        <w:i/>
        <w:color w:val="664f82" w:themeColor="accent4" w:themeTint="9A" w:themeShade="95"/>
        <w:sz w:val="22"/>
      </w:rPr>
      <w:pPr>
        <w:pBdr/>
        <w:spacing/>
        <w:ind/>
      </w:pPr>
      <w:tblPr>
        <w:tblBorders/>
      </w:tblPr>
      <w:tcPr>
        <w:shd w:val="clear" w:color="ffffff" w:themeColor="light1" w:fill="ffffff" w:themeFill="light1"/>
        <w:tcBorders>
          <w:top w:val="single" w:color="000000" w:themeColor="accent4"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664f82" w:themeColor="accent4" w:themeTint="9A" w:themeShade="95"/>
        <w:sz w:val="22"/>
      </w:rPr>
      <w:pPr>
        <w:pBdr/>
        <w:spacing/>
        <w:ind/>
      </w:pPr>
      <w:tblPr>
        <w:tblBorders/>
      </w:tblPr>
      <w:tcPr>
        <w:tcBorders/>
      </w:tcPr>
    </w:tblStylePr>
  </w:style>
  <w:style w:type="table" w:styleId="151">
    <w:name w:val="List Table 7 Colorful - Accent 5"/>
    <w:basedOn w:val="32"/>
    <w:uiPriority w:val="99"/>
    <w:pPr>
      <w:pBdr/>
      <w:spacing w:after="0" w:line="240" w:lineRule="auto"/>
      <w:ind/>
    </w:pPr>
    <w:tblPr>
      <w:tblStyleRowBandSize w:val="1"/>
      <w:tblStyleColBandSize w:val="1"/>
      <w:tblInd w:w="0" w:type="dxa"/>
      <w:tblBorders>
        <w:right w:val="single" w:color="000000" w:themeColor="accent5" w:themeTint="9A" w:sz="4" w:space="0"/>
      </w:tblBorders>
    </w:tblPr>
    <w:tcPr>
      <w:tcBorders/>
    </w:tcPr>
    <w:tblStylePr w:type="band1Horz">
      <w:rPr>
        <w:rFonts w:ascii="Arial" w:hAnsi="Arial"/>
        <w:color w:val="338aa0" w:themeColor="accent5" w:themeTint="9A" w:themeShade="95"/>
        <w:sz w:val="22"/>
      </w:rPr>
      <w:pPr>
        <w:pBdr/>
        <w:spacing/>
        <w:ind/>
      </w:pPr>
      <w:tblPr>
        <w:tblBorders/>
      </w:tblPr>
      <w:tcPr>
        <w:shd w:val="clear" w:color="ffffff" w:themeColor="accent5" w:themeTint="40" w:fill="d1eaf0" w:themeFill="accent5" w:themeFillTint="40"/>
        <w:tcBorders/>
      </w:tcPr>
    </w:tblStylePr>
    <w:tblStylePr w:type="band1Vert">
      <w:pPr>
        <w:pBdr/>
        <w:spacing/>
        <w:ind/>
      </w:pPr>
      <w:tblPr>
        <w:tblBorders/>
      </w:tblPr>
      <w:tcPr>
        <w:shd w:val="clear" w:color="ffffff" w:themeColor="accent5" w:themeTint="40" w:fill="d1eaf0" w:themeFill="accent5" w:themeFillTint="40"/>
        <w:tcBorders/>
      </w:tcPr>
    </w:tblStylePr>
    <w:tblStylePr w:type="band2Horz">
      <w:rPr>
        <w:rFonts w:ascii="Arial" w:hAnsi="Arial"/>
        <w:color w:val="338aa0"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338aa0" w:themeColor="accent5" w:themeTint="9A" w:themeShade="95"/>
        <w:sz w:val="22"/>
      </w:rPr>
      <w:pPr>
        <w:pBdr/>
        <w:spacing/>
        <w:ind/>
        <w:jc w:val="right"/>
      </w:pPr>
      <w:tblPr>
        <w:tblBorders/>
      </w:tblPr>
      <w:tcPr>
        <w:shd w:color="ffffff"/>
        <w:tcBorders>
          <w:top w:val="none"/>
          <w:left w:val="none"/>
          <w:bottom w:val="none"/>
          <w:right w:val="single" w:color="000000" w:themeColor="accent5" w:themeTint="9A" w:sz="4" w:space="0"/>
        </w:tcBorders>
      </w:tcPr>
    </w:tblStylePr>
    <w:tblStylePr w:type="firstRow">
      <w:rPr>
        <w:rFonts w:ascii="Arial" w:hAnsi="Arial"/>
        <w:i/>
        <w:color w:val="338aa0" w:themeColor="accent5" w:themeTint="9A" w:themeShade="95"/>
        <w:sz w:val="22"/>
      </w:rPr>
      <w:pPr>
        <w:pBdr/>
        <w:spacing/>
        <w:ind/>
      </w:pPr>
      <w:tblPr>
        <w:tblBorders/>
      </w:tblPr>
      <w:tcPr>
        <w:shd w:val="clear" w:color="ffffff" w:themeColor="light1" w:fill="ffffff" w:themeFill="light1"/>
        <w:tcBorders>
          <w:top w:val="none"/>
          <w:left w:val="none"/>
          <w:bottom w:val="single" w:color="000000" w:themeColor="accent5" w:themeTint="9A" w:sz="4" w:space="0"/>
          <w:right w:val="none"/>
        </w:tcBorders>
      </w:tcPr>
    </w:tblStylePr>
    <w:tblStylePr w:type="lastCol">
      <w:rPr>
        <w:rFonts w:ascii="Arial" w:hAnsi="Arial"/>
        <w:i/>
        <w:color w:val="338aa0" w:themeColor="accent5" w:themeTint="9A" w:themeShade="95"/>
        <w:sz w:val="22"/>
      </w:rPr>
      <w:pPr>
        <w:pBdr/>
        <w:spacing/>
        <w:ind/>
      </w:pPr>
      <w:tblPr>
        <w:tblBorders/>
      </w:tblPr>
      <w:tcPr>
        <w:shd w:color="ffffff"/>
        <w:tcBorders>
          <w:top w:val="none"/>
          <w:left w:val="single" w:color="000000" w:themeColor="accent5" w:themeTint="9A" w:sz="4" w:space="0"/>
          <w:bottom w:val="none"/>
          <w:right w:val="none"/>
        </w:tcBorders>
      </w:tcPr>
    </w:tblStylePr>
    <w:tblStylePr w:type="lastRow">
      <w:rPr>
        <w:rFonts w:ascii="Arial" w:hAnsi="Arial"/>
        <w:i/>
        <w:color w:val="338aa0" w:themeColor="accent5" w:themeTint="9A" w:themeShade="95"/>
        <w:sz w:val="22"/>
      </w:rPr>
      <w:pPr>
        <w:pBdr/>
        <w:spacing/>
        <w:ind/>
      </w:pPr>
      <w:tblPr>
        <w:tblBorders/>
      </w:tblPr>
      <w:tcPr>
        <w:shd w:val="clear" w:color="ffffff" w:themeColor="light1" w:fill="ffffff" w:themeFill="light1"/>
        <w:tcBorders>
          <w:top w:val="single" w:color="000000" w:themeColor="accent5"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338aa0" w:themeColor="accent5" w:themeTint="9A" w:themeShade="95"/>
        <w:sz w:val="22"/>
      </w:rPr>
      <w:pPr>
        <w:pBdr/>
        <w:spacing/>
        <w:ind/>
      </w:pPr>
      <w:tblPr>
        <w:tblBorders/>
      </w:tblPr>
      <w:tcPr>
        <w:tcBorders/>
      </w:tcPr>
    </w:tblStylePr>
  </w:style>
  <w:style w:type="table" w:styleId="152">
    <w:name w:val="List Table 7 Colorful - Accent 6"/>
    <w:basedOn w:val="32"/>
    <w:uiPriority w:val="99"/>
    <w:pPr>
      <w:pBdr/>
      <w:spacing w:after="0" w:line="240" w:lineRule="auto"/>
      <w:ind/>
    </w:pPr>
    <w:tblPr>
      <w:tblStyleRowBandSize w:val="1"/>
      <w:tblStyleColBandSize w:val="1"/>
      <w:tblInd w:w="0" w:type="dxa"/>
      <w:tblBorders>
        <w:right w:val="single" w:color="000000" w:themeColor="accent6" w:themeTint="98" w:sz="4" w:space="0"/>
      </w:tblBorders>
    </w:tblPr>
    <w:tcPr>
      <w:tcBorders/>
    </w:tcPr>
    <w:tblStylePr w:type="band1Horz">
      <w:rPr>
        <w:rFonts w:ascii="Arial" w:hAnsi="Arial"/>
        <w:color w:val="d9680c" w:themeColor="accent6" w:themeTint="98" w:themeShade="95"/>
        <w:sz w:val="22"/>
      </w:rPr>
      <w:pPr>
        <w:pBdr/>
        <w:spacing/>
        <w:ind/>
      </w:pPr>
      <w:tblPr>
        <w:tblBorders/>
      </w:tblPr>
      <w:tcPr>
        <w:shd w:val="clear" w:color="ffffff" w:themeColor="accent6" w:themeTint="40" w:fill="fce4d1" w:themeFill="accent6" w:themeFillTint="40"/>
        <w:tcBorders/>
      </w:tcPr>
    </w:tblStylePr>
    <w:tblStylePr w:type="band1Vert">
      <w:pPr>
        <w:pBdr/>
        <w:spacing/>
        <w:ind/>
      </w:pPr>
      <w:tblPr>
        <w:tblBorders/>
      </w:tblPr>
      <w:tcPr>
        <w:shd w:val="clear" w:color="ffffff" w:themeColor="accent6" w:themeTint="40" w:fill="fce4d1" w:themeFill="accent6" w:themeFillTint="40"/>
        <w:tcBorders/>
      </w:tcPr>
    </w:tblStylePr>
    <w:tblStylePr w:type="band2Horz">
      <w:rPr>
        <w:rFonts w:ascii="Arial" w:hAnsi="Arial"/>
        <w:color w:val="d9680c"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d9680c" w:themeColor="accent6" w:themeTint="98" w:themeShade="95"/>
        <w:sz w:val="22"/>
      </w:rPr>
      <w:pPr>
        <w:pBdr/>
        <w:spacing/>
        <w:ind/>
        <w:jc w:val="right"/>
      </w:pPr>
      <w:tblPr>
        <w:tblBorders/>
      </w:tblPr>
      <w:tcPr>
        <w:shd w:color="ffffff"/>
        <w:tcBorders>
          <w:top w:val="none"/>
          <w:left w:val="none"/>
          <w:bottom w:val="none"/>
          <w:right w:val="single" w:color="000000" w:themeColor="accent6" w:themeTint="98" w:sz="4" w:space="0"/>
        </w:tcBorders>
      </w:tcPr>
    </w:tblStylePr>
    <w:tblStylePr w:type="firstRow">
      <w:rPr>
        <w:rFonts w:ascii="Arial" w:hAnsi="Arial"/>
        <w:i/>
        <w:color w:val="d9680c" w:themeColor="accent6" w:themeTint="98" w:themeShade="95"/>
        <w:sz w:val="22"/>
      </w:rPr>
      <w:pPr>
        <w:pBdr/>
        <w:spacing/>
        <w:ind/>
      </w:pPr>
      <w:tblPr>
        <w:tblBorders/>
      </w:tblPr>
      <w:tcPr>
        <w:shd w:val="clear" w:color="ffffff" w:themeColor="light1" w:fill="ffffff" w:themeFill="light1"/>
        <w:tcBorders>
          <w:top w:val="none"/>
          <w:left w:val="none"/>
          <w:bottom w:val="single" w:color="000000" w:themeColor="accent6" w:themeTint="98" w:sz="4" w:space="0"/>
          <w:right w:val="none"/>
        </w:tcBorders>
      </w:tcPr>
    </w:tblStylePr>
    <w:tblStylePr w:type="lastCol">
      <w:rPr>
        <w:rFonts w:ascii="Arial" w:hAnsi="Arial"/>
        <w:i/>
        <w:color w:val="d9680c" w:themeColor="accent6" w:themeTint="98" w:themeShade="95"/>
        <w:sz w:val="22"/>
      </w:rPr>
      <w:pPr>
        <w:pBdr/>
        <w:spacing/>
        <w:ind/>
      </w:pPr>
      <w:tblPr>
        <w:tblBorders/>
      </w:tblPr>
      <w:tcPr>
        <w:shd w:color="ffffff"/>
        <w:tcBorders>
          <w:top w:val="none"/>
          <w:left w:val="single" w:color="000000" w:themeColor="accent6" w:themeTint="98" w:sz="4" w:space="0"/>
          <w:bottom w:val="none"/>
          <w:right w:val="none"/>
        </w:tcBorders>
      </w:tcPr>
    </w:tblStylePr>
    <w:tblStylePr w:type="lastRow">
      <w:rPr>
        <w:rFonts w:ascii="Arial" w:hAnsi="Arial"/>
        <w:i/>
        <w:color w:val="d9680c" w:themeColor="accent6" w:themeTint="98" w:themeShade="95"/>
        <w:sz w:val="22"/>
      </w:rPr>
      <w:pPr>
        <w:pBdr/>
        <w:spacing/>
        <w:ind/>
      </w:pPr>
      <w:tblPr>
        <w:tblBorders/>
      </w:tblPr>
      <w:tcPr>
        <w:shd w:val="clear" w:color="ffffff" w:themeColor="light1" w:fill="ffffff" w:themeFill="light1"/>
        <w:tcBorders>
          <w:top w:val="single" w:color="000000" w:themeColor="accent6" w:themeTint="98"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d9680c" w:themeColor="accent6" w:themeTint="98" w:themeShade="95"/>
        <w:sz w:val="22"/>
      </w:rPr>
      <w:pPr>
        <w:pBdr/>
        <w:spacing/>
        <w:ind/>
      </w:pPr>
      <w:tblPr>
        <w:tblBorders/>
      </w:tblPr>
      <w:tcPr>
        <w:tcBorders/>
      </w:tcPr>
    </w:tblStylePr>
  </w:style>
  <w:style w:type="table" w:styleId="153">
    <w:name w:val="Lined - Accent"/>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fir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4">
    <w:name w:val="Lined - Accent 1"/>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band2Vert">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fir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fir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5">
    <w:name w:val="Lined - Accent 2"/>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fir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fir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6">
    <w:name w:val="Lined - Accent 3"/>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fir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fir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7">
    <w:name w:val="Lined - Accent 4"/>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fir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fir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8">
    <w:name w:val="Lined - Accent 5"/>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firstCol">
      <w:rPr>
        <w:rFonts w:ascii="Arial" w:hAnsi="Arial"/>
        <w:color w:val="f2f2f2"/>
        <w:sz w:val="22"/>
      </w:rPr>
      <w:pPr>
        <w:pBdr/>
        <w:spacing/>
        <w:ind/>
      </w:pPr>
      <w:tblPr>
        <w:tblBorders/>
      </w:tblPr>
      <w:tcPr>
        <w:shd w:val="clear" w:color="ffffff" w:themeColor="accent5" w:fill="4bacc6" w:themeFill="accent5"/>
        <w:tcBorders/>
      </w:tcPr>
    </w:tblStylePr>
    <w:tblStylePr w:type="firstRow">
      <w:rPr>
        <w:rFonts w:ascii="Arial" w:hAnsi="Arial"/>
        <w:color w:val="f2f2f2"/>
        <w:sz w:val="22"/>
      </w:rPr>
      <w:pPr>
        <w:pBdr/>
        <w:spacing/>
        <w:ind/>
      </w:pPr>
      <w:tblPr>
        <w:tblBorders/>
      </w:tblPr>
      <w:tcPr>
        <w:shd w:val="clear" w:color="ffffff" w:themeColor="accent5" w:fill="4bacc6" w:themeFill="accent5"/>
        <w:tcBorders/>
      </w:tcPr>
    </w:tblStylePr>
    <w:tblStylePr w:type="lastCol">
      <w:rPr>
        <w:rFonts w:ascii="Arial" w:hAnsi="Arial"/>
        <w:color w:val="f2f2f2"/>
        <w:sz w:val="22"/>
      </w:rPr>
      <w:pPr>
        <w:pBdr/>
        <w:spacing/>
        <w:ind/>
      </w:pPr>
      <w:tblPr>
        <w:tblBorders/>
      </w:tblPr>
      <w:tcPr>
        <w:shd w:val="clear" w:color="ffffff" w:themeColor="accent5" w:fill="4bacc6" w:themeFill="accent5"/>
        <w:tcBorders/>
      </w:tcPr>
    </w:tblStylePr>
    <w:tblStylePr w:type="lastRow">
      <w:rPr>
        <w:rFonts w:ascii="Arial" w:hAnsi="Arial"/>
        <w:color w:val="f2f2f2"/>
        <w:sz w:val="22"/>
      </w:rPr>
      <w:pPr>
        <w:pBdr/>
        <w:spacing/>
        <w:ind/>
      </w:pPr>
      <w:tblPr>
        <w:tblBorders/>
      </w:tblPr>
      <w:tcPr>
        <w:shd w:val="clear" w:color="ffffff" w:themeColor="accent5" w:fill="4bacc6"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9">
    <w:name w:val="Lined - Accent 6"/>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firstCol">
      <w:rPr>
        <w:rFonts w:ascii="Arial" w:hAnsi="Arial"/>
        <w:color w:val="f2f2f2"/>
        <w:sz w:val="22"/>
      </w:rPr>
      <w:pPr>
        <w:pBdr/>
        <w:spacing/>
        <w:ind/>
      </w:pPr>
      <w:tblPr>
        <w:tblBorders/>
      </w:tblPr>
      <w:tcPr>
        <w:shd w:val="clear" w:color="ffffff" w:themeColor="accent6" w:fill="f79646" w:themeFill="accent6"/>
        <w:tcBorders/>
      </w:tcPr>
    </w:tblStylePr>
    <w:tblStylePr w:type="firstRow">
      <w:rPr>
        <w:rFonts w:ascii="Arial" w:hAnsi="Arial"/>
        <w:color w:val="f2f2f2"/>
        <w:sz w:val="22"/>
      </w:rPr>
      <w:pPr>
        <w:pBdr/>
        <w:spacing/>
        <w:ind/>
      </w:pPr>
      <w:tblPr>
        <w:tblBorders/>
      </w:tblPr>
      <w:tcPr>
        <w:shd w:val="clear" w:color="ffffff" w:themeColor="accent6" w:fill="f79646" w:themeFill="accent6"/>
        <w:tcBorders/>
      </w:tcPr>
    </w:tblStylePr>
    <w:tblStylePr w:type="lastCol">
      <w:rPr>
        <w:rFonts w:ascii="Arial" w:hAnsi="Arial"/>
        <w:color w:val="f2f2f2"/>
        <w:sz w:val="22"/>
      </w:rPr>
      <w:pPr>
        <w:pBdr/>
        <w:spacing/>
        <w:ind/>
      </w:pPr>
      <w:tblPr>
        <w:tblBorders/>
      </w:tblPr>
      <w:tcPr>
        <w:shd w:val="clear" w:color="ffffff" w:themeColor="accent6" w:fill="f79646" w:themeFill="accent6"/>
        <w:tcBorders/>
      </w:tcPr>
    </w:tblStylePr>
    <w:tblStylePr w:type="lastRow">
      <w:rPr>
        <w:rFonts w:ascii="Arial" w:hAnsi="Arial"/>
        <w:color w:val="f2f2f2"/>
        <w:sz w:val="22"/>
      </w:rPr>
      <w:pPr>
        <w:pBdr/>
        <w:spacing/>
        <w:ind/>
      </w:pPr>
      <w:tblPr>
        <w:tblBorders/>
      </w:tblPr>
      <w:tcPr>
        <w:shd w:val="clear" w:color="ffffff" w:themeColor="accent6" w:fill="f79646"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0">
    <w:name w:val="Bordered &amp; Lined - Accent"/>
    <w:basedOn w:val="32"/>
    <w:uiPriority w:val="99"/>
    <w:pPr>
      <w:pBdr/>
      <w:spacing w:after="0" w:line="240" w:lineRule="auto"/>
      <w:ind/>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fir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1">
    <w:name w:val="Bordered &amp; Lined - Accent 1"/>
    <w:basedOn w:val="32"/>
    <w:uiPriority w:val="99"/>
    <w:pPr>
      <w:pBdr/>
      <w:spacing w:after="0" w:line="240" w:lineRule="auto"/>
      <w:ind/>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band2Vert">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fir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fir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2">
    <w:name w:val="Bordered &amp; Lined - Accent 2"/>
    <w:basedOn w:val="32"/>
    <w:uiPriority w:val="99"/>
    <w:pPr>
      <w:pBdr/>
      <w:spacing w:after="0" w:line="240" w:lineRule="auto"/>
      <w:ind/>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fir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fir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3">
    <w:name w:val="Bordered &amp; Lined - Accent 3"/>
    <w:basedOn w:val="32"/>
    <w:uiPriority w:val="99"/>
    <w:pPr>
      <w:pBdr/>
      <w:spacing w:after="0" w:line="240" w:lineRule="auto"/>
      <w:ind/>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fir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fir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4">
    <w:name w:val="Bordered &amp; Lined - Accent 4"/>
    <w:basedOn w:val="32"/>
    <w:uiPriority w:val="99"/>
    <w:pPr>
      <w:pBdr/>
      <w:spacing w:after="0" w:line="240" w:lineRule="auto"/>
      <w:ind/>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fir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fir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5">
    <w:name w:val="Bordered &amp; Lined - Accent 5"/>
    <w:basedOn w:val="32"/>
    <w:uiPriority w:val="99"/>
    <w:pPr>
      <w:pBdr/>
      <w:spacing w:after="0" w:line="240" w:lineRule="auto"/>
      <w:ind/>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firstCol">
      <w:rPr>
        <w:rFonts w:ascii="Arial" w:hAnsi="Arial"/>
        <w:color w:val="f2f2f2"/>
        <w:sz w:val="22"/>
      </w:rPr>
      <w:pPr>
        <w:pBdr/>
        <w:spacing/>
        <w:ind/>
      </w:pPr>
      <w:tblPr>
        <w:tblBorders/>
      </w:tblPr>
      <w:tcPr>
        <w:shd w:val="clear" w:color="ffffff" w:themeColor="accent5" w:fill="4bacc6" w:themeFill="accent5"/>
        <w:tcBorders/>
      </w:tcPr>
    </w:tblStylePr>
    <w:tblStylePr w:type="firstRow">
      <w:rPr>
        <w:rFonts w:ascii="Arial" w:hAnsi="Arial"/>
        <w:color w:val="f2f2f2"/>
        <w:sz w:val="22"/>
      </w:rPr>
      <w:pPr>
        <w:pBdr/>
        <w:spacing/>
        <w:ind/>
      </w:pPr>
      <w:tblPr>
        <w:tblBorders/>
      </w:tblPr>
      <w:tcPr>
        <w:shd w:val="clear" w:color="ffffff" w:themeColor="accent5" w:fill="4bacc6" w:themeFill="accent5"/>
        <w:tcBorders/>
      </w:tcPr>
    </w:tblStylePr>
    <w:tblStylePr w:type="lastCol">
      <w:rPr>
        <w:rFonts w:ascii="Arial" w:hAnsi="Arial"/>
        <w:color w:val="f2f2f2"/>
        <w:sz w:val="22"/>
      </w:rPr>
      <w:pPr>
        <w:pBdr/>
        <w:spacing/>
        <w:ind/>
      </w:pPr>
      <w:tblPr>
        <w:tblBorders/>
      </w:tblPr>
      <w:tcPr>
        <w:shd w:val="clear" w:color="ffffff" w:themeColor="accent5" w:fill="4bacc6" w:themeFill="accent5"/>
        <w:tcBorders/>
      </w:tcPr>
    </w:tblStylePr>
    <w:tblStylePr w:type="lastRow">
      <w:rPr>
        <w:rFonts w:ascii="Arial" w:hAnsi="Arial"/>
        <w:color w:val="f2f2f2"/>
        <w:sz w:val="22"/>
      </w:rPr>
      <w:pPr>
        <w:pBdr/>
        <w:spacing/>
        <w:ind/>
      </w:pPr>
      <w:tblPr>
        <w:tblBorders/>
      </w:tblPr>
      <w:tcPr>
        <w:shd w:val="clear" w:color="ffffff" w:themeColor="accent5" w:fill="4bacc6"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6">
    <w:name w:val="Bordered &amp; Lined - Accent 6"/>
    <w:basedOn w:val="32"/>
    <w:uiPriority w:val="99"/>
    <w:pPr>
      <w:pBdr/>
      <w:spacing w:after="0" w:line="240" w:lineRule="auto"/>
      <w:ind/>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firstCol">
      <w:rPr>
        <w:rFonts w:ascii="Arial" w:hAnsi="Arial"/>
        <w:color w:val="f2f2f2"/>
        <w:sz w:val="22"/>
      </w:rPr>
      <w:pPr>
        <w:pBdr/>
        <w:spacing/>
        <w:ind/>
      </w:pPr>
      <w:tblPr>
        <w:tblBorders/>
      </w:tblPr>
      <w:tcPr>
        <w:shd w:val="clear" w:color="ffffff" w:themeColor="accent6" w:fill="f79646" w:themeFill="accent6"/>
        <w:tcBorders/>
      </w:tcPr>
    </w:tblStylePr>
    <w:tblStylePr w:type="firstRow">
      <w:rPr>
        <w:rFonts w:ascii="Arial" w:hAnsi="Arial"/>
        <w:color w:val="f2f2f2"/>
        <w:sz w:val="22"/>
      </w:rPr>
      <w:pPr>
        <w:pBdr/>
        <w:spacing/>
        <w:ind/>
      </w:pPr>
      <w:tblPr>
        <w:tblBorders/>
      </w:tblPr>
      <w:tcPr>
        <w:shd w:val="clear" w:color="ffffff" w:themeColor="accent6" w:fill="f79646" w:themeFill="accent6"/>
        <w:tcBorders/>
      </w:tcPr>
    </w:tblStylePr>
    <w:tblStylePr w:type="lastCol">
      <w:rPr>
        <w:rFonts w:ascii="Arial" w:hAnsi="Arial"/>
        <w:color w:val="f2f2f2"/>
        <w:sz w:val="22"/>
      </w:rPr>
      <w:pPr>
        <w:pBdr/>
        <w:spacing/>
        <w:ind/>
      </w:pPr>
      <w:tblPr>
        <w:tblBorders/>
      </w:tblPr>
      <w:tcPr>
        <w:shd w:val="clear" w:color="ffffff" w:themeColor="accent6" w:fill="f79646" w:themeFill="accent6"/>
        <w:tcBorders/>
      </w:tcPr>
    </w:tblStylePr>
    <w:tblStylePr w:type="lastRow">
      <w:rPr>
        <w:rFonts w:ascii="Arial" w:hAnsi="Arial"/>
        <w:color w:val="f2f2f2"/>
        <w:sz w:val="22"/>
      </w:rPr>
      <w:pPr>
        <w:pBdr/>
        <w:spacing/>
        <w:ind/>
      </w:pPr>
      <w:tblPr>
        <w:tblBorders/>
      </w:tblPr>
      <w:tcPr>
        <w:shd w:val="clear" w:color="ffffff" w:themeColor="accent6" w:fill="f79646"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7">
    <w:name w:val="Bordered"/>
    <w:basedOn w:val="32"/>
    <w:uiPriority w:val="99"/>
    <w:pPr>
      <w:pBdr/>
      <w:spacing w:after="0" w:line="240" w:lineRule="auto"/>
      <w:ind/>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cPr>
      <w:tcBorders/>
    </w:tcPr>
    <w:tblStylePr w:type="band1Horz">
      <w:rPr>
        <w:rFonts w:ascii="Arial" w:hAnsi="Arial"/>
        <w:color w:val="404040"/>
        <w:sz w:val="22"/>
      </w:rPr>
      <w:pPr>
        <w:pBdr/>
        <w:spacing/>
        <w:ind/>
      </w:pPr>
      <w:tblPr>
        <w:tblBorders/>
      </w:tbl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text1" w:themeTint="80" w:sz="12" w:space="0"/>
        </w:tcBorders>
      </w:tcPr>
    </w:tblStylePr>
    <w:tblStylePr w:type="lastCol">
      <w:rPr>
        <w:rFonts w:ascii="Arial" w:hAnsi="Arial"/>
        <w:color w:val="404040"/>
        <w:sz w:val="22"/>
      </w:rPr>
      <w:pPr>
        <w:pBdr/>
        <w:spacing/>
        <w:ind/>
      </w:pPr>
      <w:tblPr>
        <w:tblBorders/>
      </w:tblPr>
      <w:tcPr>
        <w:tcBorders>
          <w:left w:val="single" w:color="000000" w:themeColor="text1" w:themeTint="80" w:sz="12" w:space="0"/>
        </w:tcBorders>
      </w:tcPr>
    </w:tblStylePr>
    <w:tblStylePr w:type="lastRow">
      <w:rPr>
        <w:rFonts w:ascii="Arial" w:hAnsi="Arial"/>
        <w:color w:val="404040"/>
        <w:sz w:val="22"/>
      </w:rPr>
      <w:pPr>
        <w:pBdr/>
        <w:spacing/>
        <w:ind/>
      </w:pPr>
      <w:tblPr>
        <w:tblBorders/>
      </w:tblPr>
      <w:tcPr>
        <w:tcBorders>
          <w:top w:val="single" w:color="000000" w:themeColor="text1" w:themeTint="80"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8">
    <w:name w:val="Bordered - Accent 1"/>
    <w:basedOn w:val="32"/>
    <w:uiPriority w:val="99"/>
    <w:pPr>
      <w:pBdr/>
      <w:spacing w:after="0" w:line="240" w:lineRule="auto"/>
      <w:ind/>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1" w:sz="12" w:space="0"/>
        </w:tcBorders>
      </w:tcPr>
    </w:tblStylePr>
    <w:tblStylePr w:type="lastCol">
      <w:rPr>
        <w:rFonts w:ascii="Arial" w:hAnsi="Arial"/>
        <w:color w:val="404040"/>
        <w:sz w:val="22"/>
      </w:rPr>
      <w:pPr>
        <w:pBdr/>
        <w:spacing/>
        <w:ind/>
      </w:pPr>
      <w:tblPr>
        <w:tblBorders/>
      </w:tblPr>
      <w:tcPr>
        <w:tcBorders>
          <w:left w:val="single" w:color="000000" w:themeColor="accent1" w:sz="12" w:space="0"/>
        </w:tcBorders>
      </w:tcPr>
    </w:tblStylePr>
    <w:tblStylePr w:type="lastRow">
      <w:rPr>
        <w:rFonts w:ascii="Arial" w:hAnsi="Arial"/>
        <w:color w:val="404040"/>
        <w:sz w:val="22"/>
      </w:rPr>
      <w:pPr>
        <w:pBdr/>
        <w:spacing/>
        <w:ind/>
      </w:pPr>
      <w:tblPr>
        <w:tblBorders/>
      </w:tblPr>
      <w:tcPr>
        <w:tcBorders>
          <w:top w:val="single" w:color="000000" w:themeColor="accent1"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9">
    <w:name w:val="Bordered - Accent 2"/>
    <w:basedOn w:val="32"/>
    <w:uiPriority w:val="99"/>
    <w:pPr>
      <w:pBdr/>
      <w:spacing w:after="0" w:line="240" w:lineRule="auto"/>
      <w:ind/>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2" w:themeTint="97" w:sz="12" w:space="0"/>
        </w:tcBorders>
      </w:tcPr>
    </w:tblStylePr>
    <w:tblStylePr w:type="lastCol">
      <w:rPr>
        <w:rFonts w:ascii="Arial" w:hAnsi="Arial"/>
        <w:color w:val="404040"/>
        <w:sz w:val="22"/>
      </w:rPr>
      <w:pPr>
        <w:pBdr/>
        <w:spacing/>
        <w:ind/>
      </w:pPr>
      <w:tblPr>
        <w:tblBorders/>
      </w:tblPr>
      <w:tcPr>
        <w:tcBorders>
          <w:left w:val="single" w:color="000000" w:themeColor="accent2" w:themeTint="97" w:sz="12" w:space="0"/>
        </w:tcBorders>
      </w:tcPr>
    </w:tblStylePr>
    <w:tblStylePr w:type="lastRow">
      <w:rPr>
        <w:rFonts w:ascii="Arial" w:hAnsi="Arial"/>
        <w:color w:val="404040"/>
        <w:sz w:val="22"/>
      </w:rPr>
      <w:pPr>
        <w:pBdr/>
        <w:spacing/>
        <w:ind/>
      </w:pPr>
      <w:tblPr>
        <w:tblBorders/>
      </w:tblPr>
      <w:tcPr>
        <w:tcBorders>
          <w:top w:val="single" w:color="000000" w:themeColor="accent2" w:themeTint="97"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0">
    <w:name w:val="Bordered - Accent 3"/>
    <w:basedOn w:val="32"/>
    <w:uiPriority w:val="99"/>
    <w:pPr>
      <w:pBdr/>
      <w:spacing w:after="0" w:line="240" w:lineRule="auto"/>
      <w:ind/>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3" w:themeTint="98" w:sz="12" w:space="0"/>
        </w:tcBorders>
      </w:tcPr>
    </w:tblStylePr>
    <w:tblStylePr w:type="lastCol">
      <w:rPr>
        <w:rFonts w:ascii="Arial" w:hAnsi="Arial"/>
        <w:color w:val="404040"/>
        <w:sz w:val="22"/>
      </w:rPr>
      <w:pPr>
        <w:pBdr/>
        <w:spacing/>
        <w:ind/>
      </w:pPr>
      <w:tblPr>
        <w:tblBorders/>
      </w:tblPr>
      <w:tcPr>
        <w:tcBorders>
          <w:left w:val="single" w:color="000000" w:themeColor="accent3" w:themeTint="98" w:sz="12" w:space="0"/>
        </w:tcBorders>
      </w:tcPr>
    </w:tblStylePr>
    <w:tblStylePr w:type="lastRow">
      <w:rPr>
        <w:rFonts w:ascii="Arial" w:hAnsi="Arial"/>
        <w:color w:val="404040"/>
        <w:sz w:val="22"/>
      </w:rPr>
      <w:pPr>
        <w:pBdr/>
        <w:spacing/>
        <w:ind/>
      </w:pPr>
      <w:tblPr>
        <w:tblBorders/>
      </w:tblPr>
      <w:tcPr>
        <w:tcBorders>
          <w:top w:val="single" w:color="000000" w:themeColor="accent3"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1">
    <w:name w:val="Bordered - Accent 4"/>
    <w:basedOn w:val="32"/>
    <w:uiPriority w:val="99"/>
    <w:pPr>
      <w:pBdr/>
      <w:spacing w:after="0" w:line="240" w:lineRule="auto"/>
      <w:ind/>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4" w:themeTint="9A" w:sz="12" w:space="0"/>
        </w:tcBorders>
      </w:tcPr>
    </w:tblStylePr>
    <w:tblStylePr w:type="lastCol">
      <w:rPr>
        <w:rFonts w:ascii="Arial" w:hAnsi="Arial"/>
        <w:color w:val="404040"/>
        <w:sz w:val="22"/>
      </w:rPr>
      <w:pPr>
        <w:pBdr/>
        <w:spacing/>
        <w:ind/>
      </w:pPr>
      <w:tblPr>
        <w:tblBorders/>
      </w:tblPr>
      <w:tcPr>
        <w:tcBorders>
          <w:left w:val="single" w:color="000000" w:themeColor="accent4" w:themeTint="9A" w:sz="12" w:space="0"/>
        </w:tcBorders>
      </w:tcPr>
    </w:tblStylePr>
    <w:tblStylePr w:type="lastRow">
      <w:rPr>
        <w:rFonts w:ascii="Arial" w:hAnsi="Arial"/>
        <w:color w:val="404040"/>
        <w:sz w:val="22"/>
      </w:rPr>
      <w:pPr>
        <w:pBdr/>
        <w:spacing/>
        <w:ind/>
      </w:pPr>
      <w:tblPr>
        <w:tblBorders/>
      </w:tblPr>
      <w:tcPr>
        <w:tcBorders>
          <w:top w:val="single" w:color="000000" w:themeColor="accent4"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2">
    <w:name w:val="Bordered - Accent 5"/>
    <w:basedOn w:val="32"/>
    <w:uiPriority w:val="99"/>
    <w:pPr>
      <w:pBdr/>
      <w:spacing w:after="0" w:line="240" w:lineRule="auto"/>
      <w:ind/>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5" w:themeTint="9A" w:sz="12" w:space="0"/>
        </w:tcBorders>
      </w:tcPr>
    </w:tblStylePr>
    <w:tblStylePr w:type="lastCol">
      <w:rPr>
        <w:rFonts w:ascii="Arial" w:hAnsi="Arial"/>
        <w:color w:val="404040"/>
        <w:sz w:val="22"/>
      </w:rPr>
      <w:pPr>
        <w:pBdr/>
        <w:spacing/>
        <w:ind/>
      </w:pPr>
      <w:tblPr>
        <w:tblBorders/>
      </w:tblPr>
      <w:tcPr>
        <w:tcBorders>
          <w:left w:val="single" w:color="000000" w:themeColor="accent5" w:themeTint="9A" w:sz="12" w:space="0"/>
        </w:tcBorders>
      </w:tcPr>
    </w:tblStylePr>
    <w:tblStylePr w:type="lastRow">
      <w:rPr>
        <w:rFonts w:ascii="Arial" w:hAnsi="Arial"/>
        <w:color w:val="404040"/>
        <w:sz w:val="22"/>
      </w:rPr>
      <w:pPr>
        <w:pBdr/>
        <w:spacing/>
        <w:ind/>
      </w:pPr>
      <w:tblPr>
        <w:tblBorders/>
      </w:tblPr>
      <w:tcPr>
        <w:tcBorders>
          <w:top w:val="single" w:color="000000" w:themeColor="accent5"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3">
    <w:name w:val="Bordered - Accent 6"/>
    <w:basedOn w:val="32"/>
    <w:uiPriority w:val="99"/>
    <w:pPr>
      <w:pBdr/>
      <w:spacing w:after="0" w:line="240" w:lineRule="auto"/>
      <w:ind/>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6" w:themeTint="98" w:sz="12" w:space="0"/>
        </w:tcBorders>
      </w:tcPr>
    </w:tblStylePr>
    <w:tblStylePr w:type="lastCol">
      <w:rPr>
        <w:rFonts w:ascii="Arial" w:hAnsi="Arial"/>
        <w:color w:val="404040"/>
        <w:sz w:val="22"/>
      </w:rPr>
      <w:pPr>
        <w:pBdr/>
        <w:spacing/>
        <w:ind/>
      </w:pPr>
      <w:tblPr>
        <w:tblBorders/>
      </w:tblPr>
      <w:tcPr>
        <w:tcBorders>
          <w:left w:val="single" w:color="000000" w:themeColor="accent6" w:themeTint="98" w:sz="12" w:space="0"/>
        </w:tcBorders>
      </w:tcPr>
    </w:tblStylePr>
    <w:tblStylePr w:type="lastRow">
      <w:rPr>
        <w:rFonts w:ascii="Arial" w:hAnsi="Arial"/>
        <w:color w:val="404040"/>
        <w:sz w:val="22"/>
      </w:rPr>
      <w:pPr>
        <w:pBdr/>
        <w:spacing/>
        <w:ind/>
      </w:pPr>
      <w:tblPr>
        <w:tblBorders/>
      </w:tblPr>
      <w:tcPr>
        <w:tcBorders>
          <w:top w:val="single" w:color="000000" w:themeColor="accent6"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character" w:styleId="174">
    <w:name w:val="Hyperlink"/>
    <w:uiPriority w:val="99"/>
    <w:unhideWhenUsed/>
    <w:pPr>
      <w:pBdr/>
      <w:spacing/>
      <w:ind/>
    </w:pPr>
    <w:rPr>
      <w:color w:val="0000ff" w:themeColor="hyperlink"/>
      <w:u w:val="single"/>
    </w:rPr>
  </w:style>
  <w:style w:type="paragraph" w:styleId="175">
    <w:name w:val="footnote text"/>
    <w:basedOn w:val="737"/>
    <w:link w:val="176"/>
    <w:uiPriority w:val="99"/>
    <w:semiHidden/>
    <w:unhideWhenUsed/>
    <w:pPr>
      <w:pBdr/>
      <w:spacing w:after="40" w:line="240" w:lineRule="auto"/>
      <w:ind/>
    </w:pPr>
    <w:rPr>
      <w:sz w:val="18"/>
    </w:rPr>
  </w:style>
  <w:style w:type="character" w:styleId="176">
    <w:name w:val="Footnote Text Char"/>
    <w:link w:val="175"/>
    <w:uiPriority w:val="99"/>
    <w:pPr>
      <w:pBdr/>
      <w:spacing/>
      <w:ind/>
    </w:pPr>
    <w:rPr>
      <w:sz w:val="18"/>
    </w:rPr>
  </w:style>
  <w:style w:type="character" w:styleId="177">
    <w:name w:val="footnote reference"/>
    <w:basedOn w:val="11"/>
    <w:uiPriority w:val="99"/>
    <w:unhideWhenUsed/>
    <w:pPr>
      <w:pBdr/>
      <w:spacing/>
      <w:ind/>
    </w:pPr>
    <w:rPr>
      <w:vertAlign w:val="superscript"/>
    </w:rPr>
  </w:style>
  <w:style w:type="paragraph" w:styleId="178">
    <w:name w:val="endnote text"/>
    <w:basedOn w:val="737"/>
    <w:link w:val="179"/>
    <w:uiPriority w:val="99"/>
    <w:semiHidden/>
    <w:unhideWhenUsed/>
    <w:pPr>
      <w:pBdr/>
      <w:spacing w:after="0" w:line="240" w:lineRule="auto"/>
      <w:ind/>
    </w:pPr>
    <w:rPr>
      <w:sz w:val="20"/>
    </w:rPr>
  </w:style>
  <w:style w:type="character" w:styleId="179">
    <w:name w:val="Endnote Text Char"/>
    <w:link w:val="178"/>
    <w:uiPriority w:val="99"/>
    <w:pPr>
      <w:pBdr/>
      <w:spacing/>
      <w:ind/>
    </w:pPr>
    <w:rPr>
      <w:sz w:val="20"/>
    </w:rPr>
  </w:style>
  <w:style w:type="character" w:styleId="180">
    <w:name w:val="endnote reference"/>
    <w:basedOn w:val="11"/>
    <w:uiPriority w:val="99"/>
    <w:semiHidden/>
    <w:unhideWhenUsed/>
    <w:pPr>
      <w:pBdr/>
      <w:spacing/>
      <w:ind/>
    </w:pPr>
    <w:rPr>
      <w:vertAlign w:val="superscript"/>
    </w:rPr>
  </w:style>
  <w:style w:type="paragraph" w:styleId="181">
    <w:name w:val="toc 1"/>
    <w:basedOn w:val="737"/>
    <w:next w:val="737"/>
    <w:uiPriority w:val="39"/>
    <w:unhideWhenUsed/>
    <w:pPr>
      <w:pBdr/>
      <w:spacing w:after="57"/>
      <w:ind w:right="0" w:firstLine="0" w:left="0"/>
    </w:pPr>
  </w:style>
  <w:style w:type="paragraph" w:styleId="182">
    <w:name w:val="toc 2"/>
    <w:basedOn w:val="737"/>
    <w:next w:val="737"/>
    <w:uiPriority w:val="39"/>
    <w:unhideWhenUsed/>
    <w:pPr>
      <w:pBdr/>
      <w:spacing w:after="57"/>
      <w:ind w:right="0" w:firstLine="0" w:left="283"/>
    </w:pPr>
  </w:style>
  <w:style w:type="paragraph" w:styleId="183">
    <w:name w:val="toc 3"/>
    <w:basedOn w:val="737"/>
    <w:next w:val="737"/>
    <w:uiPriority w:val="39"/>
    <w:unhideWhenUsed/>
    <w:pPr>
      <w:pBdr/>
      <w:spacing w:after="57"/>
      <w:ind w:right="0" w:firstLine="0" w:left="567"/>
    </w:pPr>
  </w:style>
  <w:style w:type="paragraph" w:styleId="184">
    <w:name w:val="toc 4"/>
    <w:basedOn w:val="737"/>
    <w:next w:val="737"/>
    <w:uiPriority w:val="39"/>
    <w:unhideWhenUsed/>
    <w:pPr>
      <w:pBdr/>
      <w:spacing w:after="57"/>
      <w:ind w:right="0" w:firstLine="0" w:left="850"/>
    </w:pPr>
  </w:style>
  <w:style w:type="paragraph" w:styleId="185">
    <w:name w:val="toc 5"/>
    <w:basedOn w:val="737"/>
    <w:next w:val="737"/>
    <w:uiPriority w:val="39"/>
    <w:unhideWhenUsed/>
    <w:pPr>
      <w:pBdr/>
      <w:spacing w:after="57"/>
      <w:ind w:right="0" w:firstLine="0" w:left="1134"/>
    </w:pPr>
  </w:style>
  <w:style w:type="paragraph" w:styleId="186">
    <w:name w:val="toc 6"/>
    <w:basedOn w:val="737"/>
    <w:next w:val="737"/>
    <w:uiPriority w:val="39"/>
    <w:unhideWhenUsed/>
    <w:pPr>
      <w:pBdr/>
      <w:spacing w:after="57"/>
      <w:ind w:right="0" w:firstLine="0" w:left="1417"/>
    </w:pPr>
  </w:style>
  <w:style w:type="paragraph" w:styleId="187">
    <w:name w:val="toc 7"/>
    <w:basedOn w:val="737"/>
    <w:next w:val="737"/>
    <w:uiPriority w:val="39"/>
    <w:unhideWhenUsed/>
    <w:pPr>
      <w:pBdr/>
      <w:spacing w:after="57"/>
      <w:ind w:right="0" w:firstLine="0" w:left="1701"/>
    </w:pPr>
  </w:style>
  <w:style w:type="paragraph" w:styleId="188">
    <w:name w:val="toc 8"/>
    <w:basedOn w:val="737"/>
    <w:next w:val="737"/>
    <w:uiPriority w:val="39"/>
    <w:unhideWhenUsed/>
    <w:pPr>
      <w:pBdr/>
      <w:spacing w:after="57"/>
      <w:ind w:right="0" w:firstLine="0" w:left="1984"/>
    </w:pPr>
  </w:style>
  <w:style w:type="paragraph" w:styleId="189">
    <w:name w:val="toc 9"/>
    <w:basedOn w:val="737"/>
    <w:next w:val="737"/>
    <w:uiPriority w:val="39"/>
    <w:unhideWhenUsed/>
    <w:pPr>
      <w:pBdr/>
      <w:spacing w:after="57"/>
      <w:ind w:right="0" w:firstLine="0" w:left="2268"/>
    </w:pPr>
  </w:style>
  <w:style w:type="paragraph" w:styleId="190">
    <w:name w:val="TOC Heading"/>
    <w:uiPriority w:val="39"/>
    <w:unhideWhenUsed/>
    <w:pPr>
      <w:pBdr/>
      <w:spacing/>
      <w:ind/>
    </w:pPr>
  </w:style>
  <w:style w:type="paragraph" w:styleId="191">
    <w:name w:val="table of figures"/>
    <w:basedOn w:val="737"/>
    <w:next w:val="737"/>
    <w:uiPriority w:val="99"/>
    <w:unhideWhenUsed/>
    <w:pPr>
      <w:pBdr/>
      <w:spacing w:after="0" w:afterAutospacing="0"/>
      <w:ind/>
    </w:pPr>
  </w:style>
  <w:style w:type="paragraph" w:styleId="737" w:default="1">
    <w:name w:val="Normal"/>
    <w:next w:val="745"/>
    <w:link w:val="737"/>
    <w:pPr>
      <w:widowControl w:val="false"/>
      <w:pBdr/>
      <w:spacing w:line="600" w:lineRule="exact"/>
      <w:ind w:firstLine="200"/>
      <w:jc w:val="both"/>
    </w:pPr>
    <w:rPr>
      <w:rFonts w:ascii="仿宋_GB2312" w:hAnsi="仿宋_GB2312" w:eastAsia="仿宋_GB2312"/>
      <w:sz w:val="32"/>
      <w:szCs w:val="32"/>
      <w:lang w:val="zh-CN" w:eastAsia="zh-CN" w:bidi="ar-SA"/>
    </w:rPr>
  </w:style>
  <w:style w:type="paragraph" w:styleId="738">
    <w:name w:val="标题 1"/>
    <w:basedOn w:val="737"/>
    <w:next w:val="737"/>
    <w:link w:val="747"/>
    <w:pPr>
      <w:keepNext w:val="true"/>
      <w:keepLines w:val="true"/>
      <w:widowControl w:val="true"/>
      <w:pBdr/>
      <w:spacing/>
      <w:ind w:firstLine="0"/>
      <w:jc w:val="center"/>
      <w:outlineLvl w:val="0"/>
    </w:pPr>
    <w:rPr>
      <w:rFonts w:ascii="Times New Roman" w:hAnsi="Times New Roman" w:eastAsia="黑体" w:cs="Times New Roman"/>
      <w:b/>
      <w:bCs/>
      <w:sz w:val="32"/>
      <w:szCs w:val="32"/>
      <w:lang w:val="zh-CN" w:eastAsia="zh-CN"/>
    </w:rPr>
  </w:style>
  <w:style w:type="paragraph" w:styleId="739">
    <w:name w:val="标题 2"/>
    <w:basedOn w:val="737"/>
    <w:next w:val="737"/>
    <w:link w:val="748"/>
    <w:pPr>
      <w:keepNext w:val="true"/>
      <w:keepLines w:val="true"/>
      <w:pBdr/>
      <w:spacing/>
      <w:ind/>
      <w:outlineLvl w:val="1"/>
    </w:pPr>
    <w:rPr>
      <w:rFonts w:ascii="Times New Roman" w:hAnsi="Times New Roman" w:eastAsia="楷体" w:cs="Times New Roman"/>
      <w:b/>
      <w:bCs/>
      <w:sz w:val="36"/>
      <w:szCs w:val="36"/>
    </w:rPr>
  </w:style>
  <w:style w:type="paragraph" w:styleId="740">
    <w:name w:val="标题 3"/>
    <w:basedOn w:val="737"/>
    <w:next w:val="737"/>
    <w:link w:val="749"/>
    <w:pPr>
      <w:widowControl w:val="true"/>
      <w:pBdr/>
      <w:spacing/>
      <w:ind/>
      <w:jc w:val="left"/>
      <w:outlineLvl w:val="2"/>
    </w:pPr>
    <w:rPr>
      <w:rFonts w:ascii="Times New Roman" w:hAnsi="Times New Roman" w:eastAsia="仿宋" w:cs="Times New Roman"/>
      <w:b/>
      <w:bCs/>
      <w:sz w:val="44"/>
      <w:szCs w:val="44"/>
      <w:lang w:val="en-US" w:eastAsia="zh-CN"/>
    </w:rPr>
  </w:style>
  <w:style w:type="paragraph" w:styleId="741">
    <w:name w:val="标题 4"/>
    <w:basedOn w:val="738"/>
    <w:next w:val="737"/>
    <w:link w:val="750"/>
    <w:pPr>
      <w:pBdr/>
      <w:spacing/>
      <w:ind w:firstLine="200"/>
      <w:jc w:val="both"/>
      <w:outlineLvl w:val="3"/>
    </w:pPr>
    <w:rPr>
      <w:rFonts w:ascii="Times New Roman" w:hAnsi="Times New Roman" w:eastAsia="仿宋" w:cs="Times New Roman"/>
      <w:b/>
      <w:bCs/>
      <w:sz w:val="32"/>
      <w:szCs w:val="32"/>
      <w:lang w:val="zh-CN"/>
    </w:rPr>
  </w:style>
  <w:style w:type="paragraph" w:styleId="742">
    <w:name w:val="标题 7"/>
    <w:basedOn w:val="737"/>
    <w:next w:val="737"/>
    <w:link w:val="751"/>
    <w:pPr>
      <w:keepNext w:val="true"/>
      <w:keepLines w:val="true"/>
      <w:pBdr/>
      <w:spacing w:after="64" w:before="240" w:line="320" w:lineRule="auto"/>
      <w:ind w:firstLine="1044"/>
      <w:outlineLvl w:val="6"/>
    </w:pPr>
    <w:rPr>
      <w:rFonts w:ascii="Times New Roman" w:hAnsi="Times New Roman" w:eastAsia="仿宋_GB2312" w:cs="Times New Roman"/>
      <w:b/>
      <w:bCs/>
      <w:sz w:val="24"/>
      <w:szCs w:val="24"/>
    </w:rPr>
  </w:style>
  <w:style w:type="character" w:styleId="743">
    <w:name w:val="默认段落字体"/>
    <w:next w:val="743"/>
    <w:link w:val="773"/>
    <w:pPr>
      <w:pBdr/>
      <w:spacing/>
      <w:ind/>
    </w:pPr>
  </w:style>
  <w:style w:type="table" w:styleId="744">
    <w:name w:val="普通表格"/>
    <w:next w:val="744"/>
    <w:link w:val="737"/>
    <w:semiHidden/>
    <w:pPr>
      <w:pBdr/>
      <w:spacing/>
      <w:ind/>
    </w:pPr>
    <w:tblPr>
      <w:tblBorders/>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paragraph" w:styleId="745">
    <w:name w:val="正文首行缩进 2"/>
    <w:basedOn w:val="746"/>
    <w:next w:val="737"/>
    <w:link w:val="737"/>
    <w:qFormat/>
    <w:pPr>
      <w:pBdr/>
      <w:spacing/>
      <w:ind w:firstLine="420"/>
    </w:pPr>
  </w:style>
  <w:style w:type="paragraph" w:styleId="746">
    <w:name w:val="正文文本缩进"/>
    <w:basedOn w:val="737"/>
    <w:next w:val="745"/>
    <w:link w:val="737"/>
    <w:uiPriority w:val="99"/>
    <w:qFormat/>
    <w:pPr>
      <w:pBdr/>
      <w:spacing w:after="120"/>
      <w:ind w:left="420"/>
    </w:pPr>
  </w:style>
  <w:style w:type="character" w:styleId="747">
    <w:name w:val="标题 1 字符"/>
    <w:next w:val="747"/>
    <w:link w:val="738"/>
    <w:pPr>
      <w:pBdr/>
      <w:spacing/>
      <w:ind/>
    </w:pPr>
    <w:rPr>
      <w:rFonts w:ascii="Times New Roman" w:hAnsi="Times New Roman" w:eastAsia="黑体" w:cs="Times New Roman"/>
      <w:b/>
      <w:bCs/>
      <w:sz w:val="32"/>
      <w:szCs w:val="32"/>
      <w:lang w:val="zh-CN" w:eastAsia="zh-CN"/>
    </w:rPr>
  </w:style>
  <w:style w:type="character" w:styleId="748">
    <w:name w:val="标题 2 字符"/>
    <w:next w:val="748"/>
    <w:link w:val="739"/>
    <w:pPr>
      <w:pBdr/>
      <w:spacing/>
      <w:ind/>
    </w:pPr>
    <w:rPr>
      <w:rFonts w:ascii="Times New Roman" w:hAnsi="Times New Roman" w:eastAsia="楷体" w:cs="Times New Roman"/>
      <w:b/>
      <w:bCs/>
      <w:sz w:val="36"/>
      <w:szCs w:val="36"/>
    </w:rPr>
  </w:style>
  <w:style w:type="character" w:styleId="749">
    <w:name w:val="标题 3 字符"/>
    <w:next w:val="749"/>
    <w:link w:val="740"/>
    <w:pPr>
      <w:pBdr/>
      <w:spacing/>
      <w:ind/>
    </w:pPr>
    <w:rPr>
      <w:rFonts w:ascii="Times New Roman" w:hAnsi="Times New Roman" w:eastAsia="仿宋" w:cs="Times New Roman"/>
      <w:b/>
      <w:bCs/>
      <w:sz w:val="44"/>
      <w:szCs w:val="44"/>
      <w:lang w:val="en-US" w:eastAsia="zh-CN"/>
    </w:rPr>
  </w:style>
  <w:style w:type="character" w:styleId="750">
    <w:name w:val="标题 4 字符"/>
    <w:next w:val="750"/>
    <w:link w:val="741"/>
    <w:pPr>
      <w:pBdr/>
      <w:spacing/>
      <w:ind/>
    </w:pPr>
    <w:rPr>
      <w:rFonts w:ascii="Times New Roman" w:hAnsi="Times New Roman" w:eastAsia="仿宋" w:cs="Times New Roman"/>
      <w:b/>
      <w:bCs/>
      <w:sz w:val="32"/>
      <w:szCs w:val="32"/>
      <w:lang w:val="zh-CN"/>
    </w:rPr>
  </w:style>
  <w:style w:type="character" w:styleId="751">
    <w:name w:val="标题 7 字符"/>
    <w:next w:val="751"/>
    <w:link w:val="742"/>
    <w:pPr>
      <w:pBdr/>
      <w:spacing/>
      <w:ind/>
    </w:pPr>
    <w:rPr>
      <w:rFonts w:ascii="Times New Roman" w:hAnsi="Times New Roman" w:eastAsia="仿宋_GB2312" w:cs="Times New Roman"/>
      <w:b/>
      <w:bCs/>
      <w:sz w:val="24"/>
      <w:szCs w:val="24"/>
    </w:rPr>
  </w:style>
  <w:style w:type="paragraph" w:styleId="752">
    <w:name w:val="正文缩进"/>
    <w:basedOn w:val="737"/>
    <w:next w:val="752"/>
    <w:link w:val="737"/>
    <w:qFormat/>
    <w:pPr>
      <w:pBdr/>
      <w:spacing/>
      <w:ind w:firstLine="420"/>
    </w:pPr>
  </w:style>
  <w:style w:type="paragraph" w:styleId="753">
    <w:name w:val="题注"/>
    <w:basedOn w:val="737"/>
    <w:next w:val="737"/>
    <w:link w:val="737"/>
    <w:pPr>
      <w:pBdr/>
      <w:spacing/>
      <w:ind/>
      <w:jc w:val="center"/>
    </w:pPr>
    <w:rPr>
      <w:rFonts w:eastAsia="黑体"/>
      <w:b/>
      <w:bCs/>
      <w:sz w:val="21"/>
      <w:szCs w:val="21"/>
    </w:rPr>
  </w:style>
  <w:style w:type="paragraph" w:styleId="754">
    <w:name w:val="批注文字"/>
    <w:basedOn w:val="737"/>
    <w:next w:val="754"/>
    <w:link w:val="755"/>
    <w:pPr>
      <w:pBdr/>
      <w:spacing/>
      <w:ind/>
      <w:jc w:val="left"/>
    </w:pPr>
    <w:rPr>
      <w:rFonts w:ascii="Times New Roman" w:hAnsi="Times New Roman" w:eastAsia="仿宋" w:cs="Times New Roman"/>
      <w:sz w:val="21"/>
      <w:szCs w:val="21"/>
    </w:rPr>
  </w:style>
  <w:style w:type="character" w:styleId="755">
    <w:name w:val="批注文字 字符"/>
    <w:next w:val="755"/>
    <w:link w:val="754"/>
    <w:pPr>
      <w:pBdr/>
      <w:spacing/>
      <w:ind/>
    </w:pPr>
    <w:rPr>
      <w:rFonts w:ascii="Times New Roman" w:hAnsi="Times New Roman" w:eastAsia="仿宋" w:cs="Times New Roman"/>
      <w:sz w:val="21"/>
      <w:szCs w:val="21"/>
    </w:rPr>
  </w:style>
  <w:style w:type="paragraph" w:styleId="756">
    <w:name w:val="正文文本"/>
    <w:basedOn w:val="737"/>
    <w:next w:val="756"/>
    <w:link w:val="757"/>
    <w:pPr>
      <w:widowControl w:val="true"/>
      <w:pBdr/>
      <w:spacing w:after="120" w:line="276" w:lineRule="auto"/>
      <w:ind/>
      <w:jc w:val="left"/>
    </w:pPr>
    <w:rPr>
      <w:rFonts w:ascii="Times New Roman" w:hAnsi="Times New Roman" w:eastAsia="仿宋_GB2312" w:cs="Times New Roman"/>
      <w:sz w:val="32"/>
      <w:szCs w:val="32"/>
      <w:lang w:val="zh-CN"/>
    </w:rPr>
  </w:style>
  <w:style w:type="character" w:styleId="757">
    <w:name w:val="正文文本 字符"/>
    <w:next w:val="757"/>
    <w:link w:val="756"/>
    <w:pPr>
      <w:pBdr/>
      <w:spacing/>
      <w:ind/>
    </w:pPr>
    <w:rPr>
      <w:rFonts w:ascii="Times New Roman" w:hAnsi="Times New Roman" w:eastAsia="仿宋_GB2312" w:cs="Times New Roman"/>
      <w:sz w:val="32"/>
      <w:szCs w:val="32"/>
      <w:lang w:val="zh-CN"/>
    </w:rPr>
  </w:style>
  <w:style w:type="paragraph" w:styleId="758">
    <w:name w:val="目录 3"/>
    <w:basedOn w:val="737"/>
    <w:next w:val="737"/>
    <w:link w:val="737"/>
    <w:pPr>
      <w:pBdr/>
      <w:spacing/>
      <w:ind w:firstLine="0" w:left="400"/>
    </w:pPr>
  </w:style>
  <w:style w:type="paragraph" w:styleId="759">
    <w:name w:val="日期"/>
    <w:basedOn w:val="737"/>
    <w:next w:val="737"/>
    <w:link w:val="737"/>
    <w:pPr>
      <w:pBdr/>
      <w:spacing/>
      <w:ind w:left="100"/>
    </w:pPr>
  </w:style>
  <w:style w:type="paragraph" w:styleId="760">
    <w:name w:val="批注框文本"/>
    <w:basedOn w:val="737"/>
    <w:next w:val="760"/>
    <w:link w:val="761"/>
    <w:pPr>
      <w:pBdr/>
      <w:spacing w:line="240" w:lineRule="auto"/>
      <w:ind/>
    </w:pPr>
    <w:rPr>
      <w:rFonts w:ascii="Times New Roman" w:hAnsi="Times New Roman" w:eastAsia="仿宋" w:cs="Times New Roman"/>
      <w:sz w:val="18"/>
      <w:szCs w:val="18"/>
    </w:rPr>
  </w:style>
  <w:style w:type="character" w:styleId="761">
    <w:name w:val="批注框文本 字符"/>
    <w:next w:val="761"/>
    <w:link w:val="760"/>
    <w:pPr>
      <w:pBdr/>
      <w:spacing/>
      <w:ind/>
    </w:pPr>
    <w:rPr>
      <w:rFonts w:ascii="Times New Roman" w:hAnsi="Times New Roman" w:eastAsia="仿宋" w:cs="Times New Roman"/>
      <w:sz w:val="18"/>
      <w:szCs w:val="18"/>
    </w:rPr>
  </w:style>
  <w:style w:type="paragraph" w:styleId="762">
    <w:name w:val="页脚"/>
    <w:basedOn w:val="737"/>
    <w:next w:val="762"/>
    <w:link w:val="763"/>
    <w:pPr>
      <w:pBdr/>
      <w:tabs>
        <w:tab w:val="center" w:leader="none" w:pos="4153"/>
        <w:tab w:val="right" w:leader="none" w:pos="8306"/>
      </w:tabs>
      <w:spacing w:line="560" w:lineRule="atLeast"/>
      <w:ind w:firstLine="0"/>
      <w:jc w:val="center"/>
    </w:pPr>
    <w:rPr>
      <w:rFonts w:ascii="Times New Roman" w:hAnsi="Times New Roman" w:eastAsia="仿宋" w:cs="Times New Roman"/>
      <w:sz w:val="18"/>
      <w:szCs w:val="18"/>
    </w:rPr>
  </w:style>
  <w:style w:type="character" w:styleId="763">
    <w:name w:val="页脚 字符"/>
    <w:next w:val="763"/>
    <w:link w:val="762"/>
    <w:pPr>
      <w:pBdr/>
      <w:spacing/>
      <w:ind/>
    </w:pPr>
    <w:rPr>
      <w:rFonts w:ascii="Times New Roman" w:hAnsi="Times New Roman" w:eastAsia="仿宋" w:cs="Times New Roman"/>
      <w:sz w:val="18"/>
      <w:szCs w:val="18"/>
    </w:rPr>
  </w:style>
  <w:style w:type="paragraph" w:styleId="764">
    <w:name w:val="页眉"/>
    <w:basedOn w:val="737"/>
    <w:next w:val="764"/>
    <w:link w:val="765"/>
    <w:pPr>
      <w:pBdr>
        <w:bottom w:val="single" w:color="000000" w:sz="6" w:space="1"/>
      </w:pBdr>
      <w:tabs>
        <w:tab w:val="center" w:leader="none" w:pos="4153"/>
        <w:tab w:val="right" w:leader="none" w:pos="8306"/>
      </w:tabs>
      <w:spacing w:line="240" w:lineRule="atLeast"/>
      <w:ind/>
      <w:jc w:val="center"/>
    </w:pPr>
    <w:rPr>
      <w:rFonts w:ascii="Calibri" w:hAnsi="Calibri" w:eastAsia="仿宋" w:cs="Calibri"/>
      <w:sz w:val="18"/>
      <w:szCs w:val="18"/>
    </w:rPr>
  </w:style>
  <w:style w:type="character" w:styleId="765">
    <w:name w:val="页眉 字符"/>
    <w:next w:val="765"/>
    <w:link w:val="764"/>
    <w:pPr>
      <w:pBdr/>
      <w:spacing/>
      <w:ind/>
    </w:pPr>
    <w:rPr>
      <w:rFonts w:ascii="Calibri" w:hAnsi="Calibri" w:eastAsia="仿宋" w:cs="Calibri"/>
      <w:sz w:val="18"/>
      <w:szCs w:val="18"/>
    </w:rPr>
  </w:style>
  <w:style w:type="paragraph" w:styleId="766">
    <w:name w:val="目录 1"/>
    <w:basedOn w:val="737"/>
    <w:next w:val="737"/>
    <w:link w:val="737"/>
    <w:pPr>
      <w:pBdr/>
      <w:spacing/>
      <w:ind w:firstLine="0"/>
    </w:pPr>
    <w:rPr>
      <w:rFonts w:eastAsia="黑体"/>
      <w:b/>
      <w:bCs/>
    </w:rPr>
  </w:style>
  <w:style w:type="paragraph" w:styleId="767">
    <w:name w:val="脚注文本"/>
    <w:basedOn w:val="737"/>
    <w:next w:val="767"/>
    <w:link w:val="768"/>
    <w:pPr>
      <w:pBdr/>
      <w:spacing w:line="240" w:lineRule="auto"/>
      <w:ind w:firstLine="0"/>
      <w:jc w:val="left"/>
    </w:pPr>
    <w:rPr>
      <w:rFonts w:eastAsia="仿宋"/>
      <w:sz w:val="18"/>
      <w:szCs w:val="18"/>
    </w:rPr>
  </w:style>
  <w:style w:type="character" w:styleId="768">
    <w:name w:val="脚注文本 字符"/>
    <w:next w:val="768"/>
    <w:link w:val="767"/>
    <w:pPr>
      <w:pBdr/>
      <w:spacing/>
      <w:ind/>
    </w:pPr>
    <w:rPr>
      <w:rFonts w:eastAsia="仿宋"/>
      <w:sz w:val="18"/>
      <w:szCs w:val="18"/>
    </w:rPr>
  </w:style>
  <w:style w:type="paragraph" w:styleId="769">
    <w:name w:val="目录 2"/>
    <w:basedOn w:val="737"/>
    <w:next w:val="737"/>
    <w:link w:val="737"/>
    <w:pPr>
      <w:pBdr/>
      <w:spacing/>
      <w:ind w:firstLine="0" w:left="200"/>
    </w:pPr>
    <w:rPr>
      <w:rFonts w:eastAsia="楷体"/>
    </w:rPr>
  </w:style>
  <w:style w:type="paragraph" w:styleId="770">
    <w:name w:val="普通(网站)"/>
    <w:basedOn w:val="737"/>
    <w:next w:val="770"/>
    <w:link w:val="737"/>
    <w:qFormat/>
    <w:pPr>
      <w:pBdr/>
      <w:spacing w:after="100" w:afterAutospacing="1" w:before="100" w:beforeAutospacing="1"/>
      <w:ind w:right="0" w:left="0"/>
      <w:jc w:val="left"/>
    </w:pPr>
    <w:rPr>
      <w:sz w:val="24"/>
      <w:lang w:val="en-US" w:eastAsia="zh-CN" w:bidi="ar"/>
    </w:rPr>
  </w:style>
  <w:style w:type="paragraph" w:styleId="771">
    <w:name w:val="标题"/>
    <w:basedOn w:val="737"/>
    <w:next w:val="737"/>
    <w:link w:val="772"/>
    <w:pPr>
      <w:pBdr/>
      <w:spacing w:after="60" w:before="240"/>
      <w:ind w:firstLine="0"/>
      <w:jc w:val="center"/>
      <w:outlineLvl w:val="0"/>
    </w:pPr>
    <w:rPr>
      <w:rFonts w:ascii="宋体" w:hAnsi="宋体" w:eastAsia="方正小标宋简体" w:cs="宋体"/>
      <w:b/>
      <w:bCs/>
      <w:sz w:val="32"/>
      <w:szCs w:val="32"/>
    </w:rPr>
  </w:style>
  <w:style w:type="character" w:styleId="772">
    <w:name w:val="标题 字符"/>
    <w:next w:val="772"/>
    <w:link w:val="771"/>
    <w:pPr>
      <w:pBdr/>
      <w:spacing/>
      <w:ind/>
    </w:pPr>
    <w:rPr>
      <w:rFonts w:ascii="宋体" w:hAnsi="宋体" w:eastAsia="方正小标宋简体" w:cs="宋体"/>
      <w:b/>
      <w:bCs/>
      <w:sz w:val="32"/>
      <w:szCs w:val="32"/>
    </w:rPr>
  </w:style>
  <w:style w:type="paragraph" w:styleId="773">
    <w:name w:val="Char"/>
    <w:basedOn w:val="737"/>
    <w:next w:val="773"/>
    <w:link w:val="743"/>
    <w:qFormat/>
    <w:pPr>
      <w:pBdr/>
      <w:spacing w:line="240" w:lineRule="auto"/>
      <w:ind w:firstLine="0"/>
    </w:pPr>
    <w:rPr>
      <w:rFonts w:ascii="Times New Roman" w:hAnsi="Times New Roman"/>
      <w:szCs w:val="24"/>
      <w:lang w:val="en-US"/>
    </w:rPr>
  </w:style>
  <w:style w:type="character" w:styleId="774">
    <w:name w:val="要点"/>
    <w:next w:val="774"/>
    <w:link w:val="737"/>
    <w:pPr>
      <w:pBdr/>
      <w:spacing/>
      <w:ind/>
    </w:pPr>
    <w:rPr>
      <w:b/>
      <w:bCs/>
    </w:rPr>
  </w:style>
  <w:style w:type="character" w:styleId="775">
    <w:name w:val="页码"/>
    <w:basedOn w:val="743"/>
    <w:next w:val="775"/>
    <w:link w:val="737"/>
    <w:pPr>
      <w:pBdr/>
      <w:spacing/>
      <w:ind/>
    </w:pPr>
  </w:style>
  <w:style w:type="character" w:styleId="776">
    <w:name w:val="已访问的超链接"/>
    <w:next w:val="776"/>
    <w:link w:val="737"/>
    <w:pPr>
      <w:pBdr/>
      <w:spacing/>
      <w:ind/>
    </w:pPr>
    <w:rPr>
      <w:color w:val="800080"/>
      <w:u w:val="none"/>
    </w:rPr>
  </w:style>
  <w:style w:type="character" w:styleId="777">
    <w:name w:val="强调"/>
    <w:basedOn w:val="743"/>
    <w:next w:val="777"/>
    <w:link w:val="737"/>
    <w:pPr>
      <w:pBdr/>
      <w:spacing/>
      <w:ind/>
    </w:pPr>
  </w:style>
  <w:style w:type="character" w:styleId="778">
    <w:name w:val="超链接"/>
    <w:next w:val="778"/>
    <w:link w:val="737"/>
    <w:pPr>
      <w:pBdr/>
      <w:spacing/>
      <w:ind/>
    </w:pPr>
    <w:rPr>
      <w:color w:val="0563c1"/>
      <w:u w:val="single"/>
    </w:rPr>
  </w:style>
  <w:style w:type="character" w:styleId="779">
    <w:name w:val="脚注引用"/>
    <w:basedOn w:val="743"/>
    <w:next w:val="779"/>
    <w:link w:val="737"/>
    <w:pPr>
      <w:pBdr/>
      <w:spacing/>
      <w:ind/>
    </w:pPr>
    <w:rPr>
      <w:vertAlign w:val="superscript"/>
    </w:rPr>
  </w:style>
  <w:style w:type="character" w:styleId="780">
    <w:name w:val="批注主题 字符"/>
    <w:next w:val="780"/>
    <w:link w:val="781"/>
    <w:pPr>
      <w:pBdr/>
      <w:spacing/>
      <w:ind/>
    </w:pPr>
    <w:rPr>
      <w:rFonts w:ascii="Times New Roman" w:hAnsi="Times New Roman" w:eastAsia="仿宋" w:cs="Times New Roman"/>
      <w:b/>
      <w:bCs/>
      <w:sz w:val="21"/>
      <w:szCs w:val="21"/>
    </w:rPr>
  </w:style>
  <w:style w:type="paragraph" w:styleId="781">
    <w:name w:val="annotation subject"/>
    <w:basedOn w:val="754"/>
    <w:next w:val="754"/>
    <w:link w:val="780"/>
    <w:pPr>
      <w:pBdr/>
      <w:spacing/>
      <w:ind/>
    </w:pPr>
    <w:rPr>
      <w:rFonts w:ascii="Times New Roman" w:hAnsi="Times New Roman" w:eastAsia="仿宋" w:cs="Times New Roman"/>
      <w:b/>
      <w:bCs/>
      <w:sz w:val="21"/>
      <w:szCs w:val="21"/>
    </w:rPr>
  </w:style>
  <w:style w:type="character" w:styleId="782">
    <w:name w:val="hover15"/>
    <w:next w:val="782"/>
    <w:link w:val="737"/>
    <w:pPr>
      <w:pBdr/>
      <w:spacing/>
      <w:ind/>
    </w:pPr>
    <w:rPr>
      <w:color w:val="025291"/>
    </w:rPr>
  </w:style>
  <w:style w:type="character" w:styleId="783">
    <w:name w:val="place1"/>
    <w:next w:val="783"/>
    <w:link w:val="737"/>
    <w:pPr>
      <w:pBdr/>
      <w:spacing/>
      <w:ind/>
    </w:pPr>
    <w:rPr>
      <w:rFonts w:hint="eastAsia" w:ascii="宋体" w:hAnsi="宋体" w:eastAsia="宋体" w:cs="宋体"/>
      <w:color w:val="888888"/>
      <w:sz w:val="25"/>
      <w:szCs w:val="25"/>
    </w:rPr>
  </w:style>
  <w:style w:type="character" w:styleId="784">
    <w:name w:val="place"/>
    <w:basedOn w:val="743"/>
    <w:next w:val="784"/>
    <w:link w:val="737"/>
    <w:pPr>
      <w:pBdr/>
      <w:spacing/>
      <w:ind/>
    </w:pPr>
  </w:style>
  <w:style w:type="character" w:styleId="785">
    <w:name w:val="bds_nopic"/>
    <w:basedOn w:val="743"/>
    <w:next w:val="785"/>
    <w:link w:val="737"/>
    <w:pPr>
      <w:pBdr/>
      <w:spacing/>
      <w:ind/>
    </w:pPr>
  </w:style>
  <w:style w:type="character" w:styleId="786">
    <w:name w:val="red"/>
    <w:next w:val="786"/>
    <w:link w:val="737"/>
    <w:pPr>
      <w:pBdr/>
      <w:spacing/>
      <w:ind/>
    </w:pPr>
    <w:rPr>
      <w:color w:val="ffffff"/>
      <w:sz w:val="21"/>
      <w:szCs w:val="21"/>
      <w:shd w:val="clear" w:color="auto" w:fill="db2323"/>
    </w:rPr>
  </w:style>
  <w:style w:type="character" w:styleId="787">
    <w:name w:val="place2"/>
    <w:basedOn w:val="743"/>
    <w:next w:val="787"/>
    <w:link w:val="737"/>
    <w:pPr>
      <w:pBdr/>
      <w:spacing/>
      <w:ind/>
    </w:pPr>
  </w:style>
  <w:style w:type="character" w:styleId="788">
    <w:name w:val="annotation reference"/>
    <w:next w:val="788"/>
    <w:link w:val="737"/>
    <w:pPr>
      <w:pBdr/>
      <w:spacing/>
      <w:ind/>
    </w:pPr>
    <w:rPr>
      <w:sz w:val="21"/>
      <w:szCs w:val="21"/>
    </w:rPr>
  </w:style>
  <w:style w:type="character" w:styleId="789">
    <w:name w:val="fontstyle01"/>
    <w:next w:val="789"/>
    <w:link w:val="737"/>
    <w:pPr>
      <w:pBdr/>
      <w:spacing/>
      <w:ind/>
    </w:pPr>
    <w:rPr>
      <w:rFonts w:ascii="仿宋_GB2312" w:hAnsi="仿宋_GB2312" w:eastAsia="仿宋_GB2312" w:cs="仿宋_GB2312"/>
      <w:color w:val="000000"/>
      <w:sz w:val="32"/>
      <w:szCs w:val="32"/>
    </w:rPr>
  </w:style>
  <w:style w:type="character" w:styleId="790">
    <w:name w:val="正文文本缩进 字符"/>
    <w:next w:val="790"/>
    <w:link w:val="791"/>
    <w:pPr>
      <w:pBdr/>
      <w:spacing/>
      <w:ind/>
    </w:pPr>
    <w:rPr>
      <w:rFonts w:ascii="仿宋" w:hAnsi="仿宋" w:eastAsia="仿宋_GB2312" w:cs="仿宋"/>
      <w:sz w:val="24"/>
      <w:szCs w:val="24"/>
    </w:rPr>
  </w:style>
  <w:style w:type="paragraph" w:styleId="791">
    <w:name w:val="Body Text Indent"/>
    <w:basedOn w:val="737"/>
    <w:next w:val="792"/>
    <w:link w:val="790"/>
    <w:pPr>
      <w:pBdr/>
      <w:spacing w:after="120"/>
      <w:ind w:left="420"/>
    </w:pPr>
    <w:rPr>
      <w:rFonts w:ascii="仿宋" w:hAnsi="仿宋" w:eastAsia="仿宋_GB2312" w:cs="仿宋"/>
      <w:sz w:val="24"/>
      <w:szCs w:val="24"/>
    </w:rPr>
  </w:style>
  <w:style w:type="paragraph" w:styleId="792">
    <w:name w:val="Body Text First Indent 2"/>
    <w:basedOn w:val="793"/>
    <w:next w:val="737"/>
    <w:link w:val="794"/>
    <w:pPr>
      <w:pBdr/>
      <w:spacing/>
      <w:ind w:firstLine="420"/>
    </w:pPr>
    <w:rPr>
      <w:rFonts w:ascii="仿宋" w:hAnsi="仿宋" w:eastAsia="仿宋_GB2312" w:cs="仿宋"/>
      <w:sz w:val="24"/>
      <w:szCs w:val="24"/>
    </w:rPr>
  </w:style>
  <w:style w:type="paragraph" w:styleId="793">
    <w:name w:val="Normal Indent"/>
    <w:basedOn w:val="737"/>
    <w:next w:val="793"/>
    <w:link w:val="737"/>
    <w:pPr>
      <w:pBdr/>
      <w:spacing w:line="240" w:lineRule="auto"/>
      <w:ind w:firstLine="420"/>
    </w:pPr>
    <w:rPr>
      <w:rFonts w:ascii="等线" w:hAnsi="等线" w:eastAsia="等线" w:cs="等线"/>
      <w:sz w:val="21"/>
      <w:szCs w:val="21"/>
    </w:rPr>
  </w:style>
  <w:style w:type="character" w:styleId="794">
    <w:name w:val="正文文本首行缩进 2 字符"/>
    <w:next w:val="794"/>
    <w:link w:val="792"/>
    <w:pPr>
      <w:pBdr/>
      <w:spacing/>
      <w:ind/>
    </w:pPr>
    <w:rPr>
      <w:rFonts w:ascii="仿宋" w:hAnsi="仿宋" w:eastAsia="仿宋_GB2312" w:cs="仿宋"/>
      <w:sz w:val="24"/>
      <w:szCs w:val="24"/>
    </w:rPr>
  </w:style>
  <w:style w:type="character" w:styleId="795">
    <w:name w:val="发展目标 字符"/>
    <w:next w:val="795"/>
    <w:link w:val="796"/>
    <w:pPr>
      <w:pBdr/>
      <w:spacing/>
      <w:ind/>
    </w:pPr>
    <w:rPr>
      <w:rFonts w:ascii="仿宋_GB2312" w:hAnsi="仿宋_GB2312"/>
      <w:sz w:val="21"/>
      <w:szCs w:val="21"/>
      <w:lang w:val="zh-CN"/>
    </w:rPr>
  </w:style>
  <w:style w:type="paragraph" w:styleId="796">
    <w:name w:val="发展目标"/>
    <w:basedOn w:val="797"/>
    <w:next w:val="796"/>
    <w:link w:val="795"/>
    <w:pPr>
      <w:pBdr/>
      <w:spacing w:line="240" w:lineRule="exact"/>
      <w:ind w:firstLine="0"/>
    </w:pPr>
    <w:rPr>
      <w:rFonts w:ascii="仿宋_GB2312" w:hAnsi="仿宋_GB2312"/>
      <w:sz w:val="21"/>
      <w:szCs w:val="21"/>
      <w:lang w:val="zh-CN"/>
    </w:rPr>
  </w:style>
  <w:style w:type="paragraph" w:styleId="797">
    <w:name w:val="表格"/>
    <w:basedOn w:val="737"/>
    <w:next w:val="797"/>
    <w:link w:val="798"/>
    <w:pPr>
      <w:widowControl w:val="true"/>
      <w:pBdr/>
      <w:spacing w:line="240" w:lineRule="auto"/>
      <w:ind/>
    </w:pPr>
    <w:rPr>
      <w:rFonts w:ascii="仿宋_GB2312" w:hAnsi="仿宋_GB2312"/>
      <w:sz w:val="21"/>
      <w:szCs w:val="21"/>
      <w:lang w:val="zh-CN"/>
    </w:rPr>
  </w:style>
  <w:style w:type="character" w:styleId="798">
    <w:name w:val="表格 字符"/>
    <w:next w:val="798"/>
    <w:link w:val="797"/>
    <w:pPr>
      <w:pBdr/>
      <w:spacing/>
      <w:ind/>
    </w:pPr>
    <w:rPr>
      <w:rFonts w:ascii="仿宋_GB2312" w:hAnsi="仿宋_GB2312"/>
      <w:sz w:val="21"/>
      <w:szCs w:val="21"/>
      <w:lang w:val="zh-CN"/>
    </w:rPr>
  </w:style>
  <w:style w:type="character" w:styleId="799">
    <w:name w:val="fontstyle11"/>
    <w:next w:val="799"/>
    <w:link w:val="737"/>
    <w:pPr>
      <w:pBdr/>
      <w:spacing/>
      <w:ind/>
    </w:pPr>
    <w:rPr>
      <w:rFonts w:ascii="TimesNewRomanPSMT" w:hAnsi="TimesNewRomanPSMT" w:cs="TimesNewRomanPSMT"/>
      <w:color w:val="000000"/>
      <w:sz w:val="20"/>
      <w:szCs w:val="20"/>
    </w:rPr>
  </w:style>
  <w:style w:type="character" w:styleId="800">
    <w:name w:val="HTML Acronym"/>
    <w:basedOn w:val="743"/>
    <w:next w:val="800"/>
    <w:link w:val="737"/>
    <w:pPr>
      <w:pBdr/>
      <w:spacing/>
      <w:ind/>
    </w:pPr>
  </w:style>
  <w:style w:type="character" w:styleId="801">
    <w:name w:val="laypage_curr"/>
    <w:next w:val="801"/>
    <w:link w:val="737"/>
    <w:pPr>
      <w:pBdr/>
      <w:spacing/>
      <w:ind/>
    </w:pPr>
    <w:rPr>
      <w:color w:val="fffdf4"/>
      <w:shd w:val="clear" w:color="auto" w:fill="0b67a6"/>
    </w:rPr>
  </w:style>
  <w:style w:type="character" w:styleId="802">
    <w:name w:val="未处理的提及2"/>
    <w:next w:val="802"/>
    <w:link w:val="737"/>
    <w:pPr>
      <w:pBdr/>
      <w:spacing/>
      <w:ind/>
    </w:pPr>
    <w:rPr>
      <w:color w:val="605e5c"/>
      <w:shd w:val="clear" w:color="auto" w:fill="e1dfdd"/>
    </w:rPr>
  </w:style>
  <w:style w:type="character" w:styleId="803">
    <w:name w:val="bds_more1"/>
    <w:basedOn w:val="743"/>
    <w:next w:val="803"/>
    <w:link w:val="737"/>
    <w:pPr>
      <w:pBdr/>
      <w:spacing/>
      <w:ind/>
    </w:pPr>
  </w:style>
  <w:style w:type="character" w:styleId="804">
    <w:name w:val="bds_more"/>
    <w:next w:val="804"/>
    <w:link w:val="737"/>
    <w:pPr>
      <w:pBdr/>
      <w:spacing/>
      <w:ind/>
    </w:pPr>
    <w:rPr>
      <w:rFonts w:hint="eastAsia" w:ascii="宋体" w:hAnsi="宋体" w:eastAsia="宋体" w:cs="宋体"/>
    </w:rPr>
  </w:style>
  <w:style w:type="character" w:styleId="805">
    <w:name w:val="noline"/>
    <w:basedOn w:val="743"/>
    <w:next w:val="805"/>
    <w:link w:val="737"/>
    <w:pPr>
      <w:pBdr/>
      <w:spacing/>
      <w:ind/>
    </w:pPr>
  </w:style>
  <w:style w:type="character" w:styleId="806">
    <w:name w:val="HTML Definition"/>
    <w:basedOn w:val="743"/>
    <w:next w:val="806"/>
    <w:link w:val="737"/>
    <w:pPr>
      <w:pBdr/>
      <w:spacing/>
      <w:ind/>
    </w:pPr>
  </w:style>
  <w:style w:type="character" w:styleId="807">
    <w:name w:val="未处理的提及1"/>
    <w:next w:val="807"/>
    <w:link w:val="737"/>
    <w:pPr>
      <w:pBdr/>
      <w:spacing/>
      <w:ind/>
    </w:pPr>
    <w:rPr>
      <w:color w:val="000000"/>
      <w:shd w:val="clear" w:color="auto" w:fill="auto"/>
    </w:rPr>
  </w:style>
  <w:style w:type="character" w:styleId="808">
    <w:name w:val="HTML Cite"/>
    <w:basedOn w:val="743"/>
    <w:next w:val="808"/>
    <w:link w:val="737"/>
    <w:pPr>
      <w:pBdr/>
      <w:spacing/>
      <w:ind/>
    </w:pPr>
  </w:style>
  <w:style w:type="character" w:styleId="809">
    <w:name w:val="place3"/>
    <w:basedOn w:val="743"/>
    <w:next w:val="809"/>
    <w:link w:val="737"/>
    <w:pPr>
      <w:pBdr/>
      <w:spacing/>
      <w:ind/>
    </w:pPr>
  </w:style>
  <w:style w:type="character" w:styleId="810">
    <w:name w:val="HTML Variable"/>
    <w:basedOn w:val="743"/>
    <w:next w:val="810"/>
    <w:link w:val="737"/>
    <w:pPr>
      <w:pBdr/>
      <w:spacing/>
      <w:ind/>
    </w:pPr>
  </w:style>
  <w:style w:type="character" w:styleId="811">
    <w:name w:val="font"/>
    <w:basedOn w:val="743"/>
    <w:next w:val="811"/>
    <w:link w:val="737"/>
    <w:pPr>
      <w:pBdr/>
      <w:spacing/>
      <w:ind/>
    </w:pPr>
  </w:style>
  <w:style w:type="character" w:styleId="812">
    <w:name w:val="bds_more2"/>
    <w:basedOn w:val="743"/>
    <w:next w:val="812"/>
    <w:link w:val="737"/>
    <w:pPr>
      <w:pBdr/>
      <w:spacing/>
      <w:ind/>
    </w:pPr>
  </w:style>
  <w:style w:type="character" w:styleId="813">
    <w:name w:val="white"/>
    <w:next w:val="813"/>
    <w:link w:val="737"/>
    <w:pPr>
      <w:pBdr/>
      <w:spacing/>
      <w:ind/>
    </w:pPr>
    <w:rPr>
      <w:color w:val="414141"/>
      <w:sz w:val="21"/>
      <w:szCs w:val="21"/>
      <w:shd w:val="clear" w:color="auto" w:fill="f9f9f9"/>
    </w:rPr>
  </w:style>
  <w:style w:type="character" w:styleId="814">
    <w:name w:val="more_zt"/>
    <w:basedOn w:val="743"/>
    <w:next w:val="814"/>
    <w:link w:val="737"/>
    <w:pPr>
      <w:pBdr/>
      <w:spacing/>
      <w:ind/>
    </w:pPr>
  </w:style>
  <w:style w:type="character" w:styleId="815">
    <w:name w:val="HTML Code"/>
    <w:next w:val="815"/>
    <w:link w:val="737"/>
    <w:pPr>
      <w:pBdr/>
      <w:spacing/>
      <w:ind/>
    </w:pPr>
    <w:rPr>
      <w:rFonts w:ascii="Courier New" w:hAnsi="Courier New"/>
      <w:sz w:val="20"/>
    </w:rPr>
  </w:style>
  <w:style w:type="character" w:styleId="816">
    <w:name w:val="font1"/>
    <w:basedOn w:val="743"/>
    <w:next w:val="816"/>
    <w:link w:val="737"/>
    <w:pPr>
      <w:pBdr/>
      <w:spacing/>
      <w:ind/>
    </w:pPr>
  </w:style>
  <w:style w:type="paragraph" w:styleId="817">
    <w:name w:val="Default"/>
    <w:next w:val="817"/>
    <w:link w:val="737"/>
    <w:qFormat/>
    <w:pPr>
      <w:widowControl w:val="false"/>
      <w:pBdr/>
      <w:spacing/>
      <w:ind/>
    </w:pPr>
    <w:rPr>
      <w:rFonts w:ascii="Sim Sun" w:hAnsi="Times New Roman" w:eastAsia="Sim Sun" w:cs="Sim Sun"/>
      <w:color w:val="000000"/>
      <w:sz w:val="24"/>
      <w:szCs w:val="24"/>
      <w:lang w:val="en-US" w:eastAsia="zh-CN" w:bidi="ar-SA"/>
    </w:rPr>
  </w:style>
  <w:style w:type="paragraph" w:styleId="818">
    <w:name w:val="Normal (Web)"/>
    <w:basedOn w:val="737"/>
    <w:next w:val="818"/>
    <w:link w:val="737"/>
    <w:pPr>
      <w:widowControl w:val="true"/>
      <w:pBdr/>
      <w:spacing w:after="100" w:afterAutospacing="1" w:before="100" w:beforeAutospacing="1" w:line="240" w:lineRule="auto"/>
      <w:ind w:firstLine="0"/>
      <w:jc w:val="left"/>
    </w:pPr>
    <w:rPr>
      <w:rFonts w:ascii="宋体" w:hAnsi="宋体" w:eastAsia="宋体" w:cs="宋体"/>
      <w:sz w:val="24"/>
      <w:szCs w:val="24"/>
    </w:rPr>
  </w:style>
  <w:style w:type="paragraph" w:styleId="819">
    <w:name w:val="No Spacing"/>
    <w:next w:val="819"/>
    <w:link w:val="737"/>
    <w:pPr>
      <w:widowControl w:val="false"/>
      <w:pBdr/>
      <w:spacing/>
      <w:ind/>
      <w:jc w:val="center"/>
    </w:pPr>
    <w:rPr>
      <w:rFonts w:eastAsia="仿宋"/>
      <w:sz w:val="32"/>
      <w:szCs w:val="32"/>
      <w:lang w:val="en-US" w:eastAsia="zh-CN" w:bidi="ar-SA"/>
    </w:rPr>
  </w:style>
  <w:style w:type="paragraph" w:styleId="820">
    <w:name w:val="List Paragraph"/>
    <w:basedOn w:val="737"/>
    <w:next w:val="820"/>
    <w:link w:val="737"/>
    <w:pPr>
      <w:pBdr/>
      <w:spacing/>
      <w:ind w:firstLine="420"/>
    </w:pPr>
  </w:style>
  <w:style w:type="character" w:styleId="9432" w:default="1">
    <w:name w:val="Default Paragraph Font"/>
    <w:uiPriority w:val="1"/>
    <w:semiHidden/>
    <w:unhideWhenUsed/>
    <w:pPr>
      <w:pBdr/>
      <w:spacing/>
      <w:ind/>
    </w:pPr>
  </w:style>
  <w:style w:type="numbering" w:styleId="9433" w:default="1">
    <w:name w:val="No List"/>
    <w:uiPriority w:val="99"/>
    <w:semiHidden/>
    <w:unhideWhenUsed/>
    <w:pPr>
      <w:pBdr/>
      <w:spacing/>
      <w:ind/>
    </w:pPr>
  </w:style>
  <w:style w:type="table" w:styleId="9434" w:default="1">
    <w:name w:val="Normal Table"/>
    <w:uiPriority w:val="99"/>
    <w:semiHidden/>
    <w:unhideWhenUsed/>
    <w:pPr>
      <w:pBdr/>
      <w:spacing/>
      <w:ind/>
    </w:pPr>
    <w:tblPr>
      <w:tblBorders/>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footnotes" Target="footnotes.xml" /><Relationship Id="rId7" Type="http://schemas.openxmlformats.org/officeDocument/2006/relationships/endnotes" Target="endnotes.xml" /><Relationship Id="rId8" Type="http://schemas.openxmlformats.org/officeDocument/2006/relationships/header" Target="header1.xml" /><Relationship Id="rId9" Type="http://schemas.openxmlformats.org/officeDocument/2006/relationships/header" Target="header2.xml" /><Relationship Id="rId10" Type="http://schemas.openxmlformats.org/officeDocument/2006/relationships/header" Target="header3.xml" /><Relationship Id="rId11" Type="http://schemas.openxmlformats.org/officeDocument/2006/relationships/footer" Target="footer1.xml" /><Relationship Id="rId12" Type="http://schemas.openxmlformats.org/officeDocument/2006/relationships/footer" Target="footer2.xml" /><Relationship Id="rId13" Type="http://schemas.openxmlformats.org/officeDocument/2006/relationships/footer" Target="footer3.xml" /><Relationship Id="rId14" Type="http://schemas.openxmlformats.org/officeDocument/2006/relationships/footer" Target="footer4.xml" /></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er2.xml.rels><?xml version="1.0" encoding="UTF-8" standalone="yes"?><Relationships xmlns="http://schemas.openxmlformats.org/package/2006/relationships"></Relationships>
</file>

<file path=word/_rels/footer3.xml.rels><?xml version="1.0" encoding="UTF-8" standalone="yes"?><Relationships xmlns="http://schemas.openxmlformats.org/package/2006/relationships"></Relationships>
</file>

<file path=word/_rels/footer4.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nam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ONLYOFFICE/7.5.1.23</Application>
  <Company>Comp</Company>
  <DocSecurity>0</DocSecurity>
  <Manager/>
  <ScaleCrop>false</ScaleCrop>
  <Template>Nor</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AAA鹏程图</dc:title>
  <dc:creator>Us</dc:creator>
  <cp:lastModifiedBy>匿名</cp:lastModifiedBy>
  <cp:revision>2</cp:revision>
  <dcterms:created xsi:type="dcterms:W3CDTF">2021-01-03T10:48:00Z</dcterms:created>
  <dcterms:modified xsi:type="dcterms:W3CDTF">2025-05-06T08:55:52Z</dcterms:modified>
</cp:coreProperties>
</file>