
<file path=[Content_Types].xml><?xml version="1.0" encoding="utf-8"?>
<Types xmlns="http://schemas.openxmlformats.org/package/2006/content-types">
  <Default Extension="xml" ContentType="application/xml"/>
  <Default Extension="wmf" ContentType="image/x-wmf"/>
  <Default Extension="png" ContentType="image/png"/>
  <Default Extension="jpeg" ContentType="image/jpeg"/>
  <Default Extension="rels" ContentType="application/vnd.openxmlformats-package.relationships+xml"/>
  <Default Extension="bin" ContentType="application/vnd.openxmlformats-officedocument.oleObject"/>
  <Override PartName="/docProps/app.xml" ContentType="application/vnd.openxmlformats-officedocument.extended-properties+xml"/>
  <Override PartName="/word/footer1.xml" ContentType="application/vnd.openxmlformats-officedocument.wordprocessingml.footer+xml"/>
  <Override PartName="/word/footnotes.xml" ContentType="application/vnd.openxmlformats-officedocument.wordprocessingml.footnotes+xml"/>
  <Override PartName="/docProps/core.xml" ContentType="application/vnd.openxmlformats-package.core-properties+xml"/>
  <Override PartName="/word/fontTable.xml" ContentType="application/vnd.openxmlformats-officedocument.wordprocessingml.fontTable+xml"/>
  <Override PartName="/word/theme/theme1.xml" ContentType="application/vnd.openxmlformats-officedocument.theme+xml"/>
  <Override PartName="/word/webSettings.xml" ContentType="application/vnd.openxmlformats-officedocument.wordprocessingml.webSettings+xml"/>
  <Override PartName="/word/endnotes.xml" ContentType="application/vnd.openxmlformats-officedocument.wordprocessingml.endnotes+xml"/>
  <Override PartName="/word/settings.xml" ContentType="application/vnd.openxmlformats-officedocument.wordprocessingml.settings+xml"/>
  <Override PartName="/word/styles.xml" ContentType="application/vnd.openxmlformats-officedocument.wordprocessingml.styles+xml"/>
  <Override PartName="/word/header1.xml" ContentType="application/vnd.openxmlformats-officedocument.wordprocessingml.header+xml"/>
  <Override PartName="/word/document.xml" ContentType="application/vnd.openxmlformats-officedocument.wordprocessingml.document.main+xml"/>
  <Override PartName="/docProps/custom.xml" ContentType="application/vnd.openxmlformats-officedocument.custom-properti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ackground w:color="ffffff"/>
  <w:body>
    <w:p>
      <w:pPr>
        <w:keepNext w:val="true"/>
        <w:keepLines w:val="true"/>
        <w:widowControl w:val="true"/>
        <w:pBdr/>
        <w:spacing w:before="480" w:line="1000" w:lineRule="exact"/>
        <w:ind/>
        <w:jc w:val="center"/>
        <w:rPr>
          <w:rFonts w:ascii="黑体" w:hAnsi="黑体" w:eastAsia="黑体" w:cs="黑体"/>
          <w:b/>
          <w:bCs/>
          <w:sz w:val="48"/>
          <w:szCs w:val="48"/>
        </w:rPr>
      </w:pPr>
      <w:r>
        <w:rPr>
          <w:rFonts w:ascii="黑体" w:hAnsi="黑体" w:eastAsia="黑体" w:cs="黑体"/>
          <w:b/>
          <w:bCs/>
          <w:sz w:val="48"/>
          <w:szCs w:val="48"/>
        </w:rPr>
      </w:r>
      <w:r>
        <w:rPr>
          <w:rFonts w:ascii="黑体" w:hAnsi="黑体" w:eastAsia="黑体" w:cs="黑体"/>
          <w:b/>
          <w:bCs/>
          <w:sz w:val="48"/>
          <w:szCs w:val="48"/>
        </w:rPr>
      </w:r>
    </w:p>
    <w:p>
      <w:pPr>
        <w:keepNext w:val="true"/>
        <w:keepLines w:val="true"/>
        <w:widowControl w:val="true"/>
        <w:pBdr/>
        <w:spacing w:before="480" w:line="1000" w:lineRule="exact"/>
        <w:ind/>
        <w:jc w:val="center"/>
        <w:rPr>
          <w:rFonts w:hint="eastAsia" w:ascii="黑体" w:hAnsi="黑体" w:eastAsia="黑体" w:cs="黑体"/>
          <w:b/>
          <w:bCs/>
          <w:sz w:val="44"/>
          <w:szCs w:val="44"/>
          <w:lang w:val="zh-CN"/>
        </w:rPr>
      </w:pPr>
      <w:r>
        <w:rPr>
          <w:rFonts w:hint="eastAsia" w:ascii="黑体" w:hAnsi="黑体" w:eastAsia="黑体" w:cs="黑体"/>
          <w:b/>
          <w:bCs/>
          <w:sz w:val="44"/>
          <w:szCs w:val="44"/>
        </w:rPr>
        <w:t xml:space="preserve">随州市住房和城乡建设信息中心</w:t>
      </w:r>
      <w:r>
        <w:rPr>
          <w:rFonts w:hint="eastAsia" w:ascii="黑体" w:hAnsi="黑体" w:eastAsia="黑体" w:cs="黑体"/>
          <w:b/>
          <w:bCs/>
          <w:sz w:val="44"/>
          <w:szCs w:val="44"/>
          <w:lang w:val="zh-CN"/>
        </w:rPr>
        <w:t xml:space="preserve">2021年度</w:t>
      </w:r>
      <w:r>
        <w:rPr>
          <w:rFonts w:hint="eastAsia" w:ascii="黑体" w:hAnsi="黑体" w:eastAsia="黑体" w:cs="黑体"/>
          <w:b/>
          <w:bCs/>
          <w:sz w:val="44"/>
          <w:szCs w:val="44"/>
          <w:lang w:val="zh-CN"/>
        </w:rPr>
      </w:r>
    </w:p>
    <w:p>
      <w:pPr>
        <w:keepNext w:val="true"/>
        <w:keepLines w:val="true"/>
        <w:widowControl w:val="true"/>
        <w:pBdr/>
        <w:spacing w:before="480" w:line="1000" w:lineRule="exact"/>
        <w:ind/>
        <w:jc w:val="center"/>
        <w:rPr>
          <w:rFonts w:ascii="黑体" w:hAnsi="黑体" w:eastAsia="黑体" w:cs="黑体"/>
          <w:b/>
          <w:bCs/>
          <w:sz w:val="44"/>
          <w:szCs w:val="44"/>
          <w:lang w:val="zh-CN"/>
        </w:rPr>
      </w:pPr>
      <w:r>
        <w:rPr>
          <w:rFonts w:hint="eastAsia" w:ascii="黑体" w:hAnsi="黑体" w:eastAsia="黑体" w:cs="黑体"/>
          <w:b/>
          <w:bCs/>
          <w:sz w:val="44"/>
          <w:szCs w:val="44"/>
          <w:lang w:val="zh-CN"/>
        </w:rPr>
        <w:t xml:space="preserve">部门整体支出绩效自评报告</w:t>
      </w:r>
      <w:r>
        <w:rPr>
          <w:rFonts w:ascii="黑体" w:hAnsi="黑体" w:eastAsia="黑体" w:cs="黑体"/>
          <w:b/>
          <w:bCs/>
          <w:sz w:val="44"/>
          <w:szCs w:val="44"/>
          <w:lang w:val="zh-CN"/>
        </w:rPr>
      </w:r>
    </w:p>
    <w:p>
      <w:pPr>
        <w:pBdr/>
        <w:spacing/>
        <w:ind/>
        <w:jc w:val="center"/>
        <w:rPr>
          <w:rFonts w:ascii="宋体" w:hAnsi="宋体" w:eastAsia="宋体" w:cs="宋体"/>
          <w:sz w:val="24"/>
        </w:rPr>
      </w:pPr>
      <w:r>
        <w:rPr>
          <w:rFonts w:ascii="宋体" w:hAnsi="宋体" w:eastAsia="宋体" w:cs="宋体"/>
          <w:sz w:val="24"/>
        </w:rPr>
      </w:r>
      <w:r>
        <w:rPr>
          <w:rFonts w:ascii="宋体" w:hAnsi="宋体" w:eastAsia="宋体" w:cs="宋体"/>
          <w:sz w:val="24"/>
        </w:rPr>
      </w:r>
    </w:p>
    <w:p>
      <w:pPr>
        <w:pBdr/>
        <w:spacing/>
        <w:ind/>
        <w:jc w:val="center"/>
        <w:rPr>
          <w:rFonts w:ascii="宋体" w:hAnsi="宋体" w:eastAsia="宋体" w:cs="宋体"/>
          <w:b/>
          <w:bCs/>
          <w:sz w:val="28"/>
          <w:szCs w:val="28"/>
        </w:rPr>
      </w:pPr>
      <w:r>
        <w:rPr>
          <w:rFonts w:ascii="宋体" w:hAnsi="宋体" w:eastAsia="宋体" w:cs="宋体"/>
          <w:b/>
          <w:bCs/>
          <w:sz w:val="28"/>
          <w:szCs w:val="28"/>
        </w:rPr>
      </w:r>
      <w:r>
        <w:rPr>
          <w:rFonts w:ascii="宋体" w:hAnsi="宋体" w:eastAsia="宋体" w:cs="宋体"/>
          <w:b/>
          <w:bCs/>
          <w:sz w:val="28"/>
          <w:szCs w:val="28"/>
        </w:rPr>
      </w:r>
    </w:p>
    <w:p>
      <w:pPr>
        <w:pBdr/>
        <w:spacing/>
        <w:ind w:firstLine="2700" w:left="560"/>
        <w:jc w:val="left"/>
        <w:rPr>
          <w:rFonts w:ascii="宋体" w:hAnsi="宋体" w:eastAsia="宋体" w:cs="宋体"/>
          <w:sz w:val="36"/>
          <w:szCs w:val="36"/>
        </w:rPr>
      </w:pPr>
      <w:r>
        <w:rPr>
          <w:rFonts w:ascii="宋体" w:hAnsi="宋体" w:eastAsia="宋体" w:cs="宋体"/>
          <w:sz w:val="36"/>
          <w:szCs w:val="36"/>
        </w:rPr>
      </w:r>
      <w:r>
        <w:rPr>
          <w:rFonts w:ascii="宋体" w:hAnsi="宋体" w:eastAsia="宋体" w:cs="宋体"/>
          <w:sz w:val="36"/>
          <w:szCs w:val="36"/>
        </w:rPr>
      </w:r>
    </w:p>
    <w:p>
      <w:pPr>
        <w:pBdr/>
        <w:spacing/>
        <w:ind/>
        <w:jc w:val="left"/>
        <w:rPr>
          <w:rFonts w:ascii="宋体" w:hAnsi="宋体" w:eastAsia="宋体" w:cs="宋体"/>
          <w:sz w:val="36"/>
          <w:szCs w:val="36"/>
        </w:rPr>
      </w:pPr>
      <w:r>
        <w:rPr>
          <w:rFonts w:ascii="宋体" w:hAnsi="宋体" w:eastAsia="宋体" w:cs="宋体"/>
          <w:sz w:val="36"/>
          <w:szCs w:val="36"/>
        </w:rPr>
      </w:r>
      <w:r>
        <w:rPr>
          <w:rFonts w:ascii="宋体" w:hAnsi="宋体" w:eastAsia="宋体" w:cs="宋体"/>
          <w:sz w:val="36"/>
          <w:szCs w:val="36"/>
        </w:rPr>
      </w:r>
    </w:p>
    <w:p>
      <w:pPr>
        <w:pBdr/>
        <w:spacing/>
        <w:ind/>
        <w:jc w:val="left"/>
        <w:rPr>
          <w:rFonts w:ascii="宋体" w:hAnsi="宋体" w:eastAsia="宋体" w:cs="宋体"/>
          <w:sz w:val="36"/>
          <w:szCs w:val="36"/>
        </w:rPr>
      </w:pPr>
      <w:r>
        <w:rPr>
          <w:rFonts w:ascii="宋体" w:hAnsi="宋体" w:eastAsia="宋体" w:cs="宋体"/>
          <w:sz w:val="36"/>
          <w:szCs w:val="36"/>
        </w:rPr>
      </w:r>
      <w:r>
        <w:rPr>
          <w:rFonts w:ascii="宋体" w:hAnsi="宋体" w:eastAsia="宋体" w:cs="宋体"/>
          <w:sz w:val="36"/>
          <w:szCs w:val="36"/>
        </w:rPr>
      </w:r>
    </w:p>
    <w:p>
      <w:pPr>
        <w:pBdr/>
        <w:spacing/>
        <w:ind w:firstLine="2700" w:left="560"/>
        <w:jc w:val="left"/>
        <w:rPr>
          <w:rFonts w:ascii="宋体" w:hAnsi="宋体" w:eastAsia="宋体" w:cs="宋体"/>
          <w:sz w:val="36"/>
          <w:szCs w:val="36"/>
        </w:rPr>
      </w:pPr>
      <w:r>
        <w:rPr>
          <w:rFonts w:ascii="宋体" w:hAnsi="宋体" w:eastAsia="宋体" w:cs="宋体"/>
          <w:sz w:val="36"/>
          <w:szCs w:val="36"/>
        </w:rPr>
      </w:r>
      <w:r>
        <w:rPr>
          <w:rFonts w:ascii="宋体" w:hAnsi="宋体" w:eastAsia="宋体" w:cs="宋体"/>
          <w:sz w:val="36"/>
          <w:szCs w:val="36"/>
        </w:rPr>
      </w:r>
    </w:p>
    <w:p>
      <w:pPr>
        <w:pBdr/>
        <w:spacing/>
        <w:ind w:firstLine="2700" w:left="560"/>
        <w:jc w:val="left"/>
        <w:rPr>
          <w:rFonts w:ascii="宋体" w:hAnsi="宋体" w:eastAsia="宋体" w:cs="宋体"/>
          <w:sz w:val="36"/>
          <w:szCs w:val="36"/>
        </w:rPr>
      </w:pPr>
      <w:r>
        <w:rPr>
          <w:rFonts w:ascii="宋体" w:hAnsi="宋体" w:eastAsia="宋体" w:cs="宋体"/>
          <w:sz w:val="36"/>
          <w:szCs w:val="36"/>
        </w:rPr>
      </w:r>
      <w:r>
        <w:rPr>
          <w:rFonts w:ascii="宋体" w:hAnsi="宋体" w:eastAsia="宋体" w:cs="宋体"/>
          <w:sz w:val="36"/>
          <w:szCs w:val="36"/>
        </w:rPr>
      </w:r>
    </w:p>
    <w:p>
      <w:pPr>
        <w:pBdr/>
        <w:spacing/>
        <w:ind w:firstLine="2700" w:left="560"/>
        <w:jc w:val="left"/>
        <w:rPr>
          <w:rFonts w:ascii="宋体" w:hAnsi="宋体" w:eastAsia="宋体" w:cs="宋体"/>
          <w:sz w:val="36"/>
          <w:szCs w:val="36"/>
        </w:rPr>
      </w:pPr>
      <w:r>
        <w:rPr>
          <w:rFonts w:ascii="宋体" w:hAnsi="宋体" w:eastAsia="宋体" w:cs="宋体"/>
          <w:sz w:val="36"/>
          <w:szCs w:val="36"/>
        </w:rPr>
      </w:r>
      <w:r>
        <w:rPr>
          <w:rFonts w:ascii="宋体" w:hAnsi="宋体" w:eastAsia="宋体" w:cs="宋体"/>
          <w:sz w:val="36"/>
          <w:szCs w:val="36"/>
        </w:rPr>
      </w:r>
    </w:p>
    <w:p>
      <w:pPr>
        <w:pBdr/>
        <w:spacing/>
        <w:ind w:firstLine="2700" w:left="560"/>
        <w:jc w:val="center"/>
        <w:rPr>
          <w:rFonts w:ascii="宋体" w:hAnsi="宋体" w:eastAsia="宋体" w:cs="宋体"/>
          <w:sz w:val="36"/>
          <w:szCs w:val="36"/>
        </w:rPr>
      </w:pPr>
      <w:r>
        <w:rPr>
          <w:rFonts w:ascii="宋体" w:hAnsi="宋体" w:eastAsia="宋体" w:cs="宋体"/>
          <w:sz w:val="36"/>
          <w:szCs w:val="36"/>
        </w:rPr>
      </w:r>
      <w:r>
        <w:rPr>
          <w:rFonts w:ascii="宋体" w:hAnsi="宋体" w:eastAsia="宋体" w:cs="宋体"/>
          <w:sz w:val="36"/>
          <w:szCs w:val="36"/>
        </w:rPr>
      </w:r>
    </w:p>
    <w:p>
      <w:pPr>
        <w:pBdr/>
        <w:spacing/>
        <w:ind w:firstLine="2700" w:left="560"/>
        <w:jc w:val="center"/>
        <w:rPr>
          <w:rFonts w:ascii="宋体" w:hAnsi="宋体" w:eastAsia="宋体" w:cs="宋体"/>
          <w:sz w:val="36"/>
          <w:szCs w:val="36"/>
        </w:rPr>
      </w:pPr>
      <w:r>
        <w:rPr>
          <w:rFonts w:ascii="宋体" w:hAnsi="宋体" w:eastAsia="宋体" w:cs="宋体"/>
          <w:sz w:val="36"/>
          <w:szCs w:val="36"/>
        </w:rPr>
      </w:r>
      <w:r>
        <w:rPr>
          <w:rFonts w:ascii="宋体" w:hAnsi="宋体" w:eastAsia="宋体" w:cs="宋体"/>
          <w:sz w:val="36"/>
          <w:szCs w:val="36"/>
        </w:rPr>
      </w:r>
    </w:p>
    <w:p>
      <w:pPr>
        <w:pBdr/>
        <w:spacing/>
        <w:ind w:firstLine="2731"/>
        <w:rPr>
          <w:rFonts w:ascii="宋体" w:hAnsi="宋体" w:eastAsia="宋体" w:cs="宋体"/>
          <w:b/>
          <w:bCs/>
          <w:szCs w:val="32"/>
        </w:rPr>
      </w:pPr>
      <w:r>
        <w:rPr>
          <w:rFonts w:ascii="宋体" w:hAnsi="宋体" w:eastAsia="宋体" w:cs="宋体"/>
          <w:b/>
          <w:bCs/>
          <w:szCs w:val="32"/>
        </w:rPr>
      </w:r>
      <w:r>
        <w:rPr>
          <w:rFonts w:ascii="宋体" w:hAnsi="宋体" w:eastAsia="宋体" w:cs="宋体"/>
          <w:b/>
          <w:bCs/>
          <w:szCs w:val="32"/>
        </w:rPr>
      </w:r>
    </w:p>
    <w:p>
      <w:pPr>
        <w:pBdr/>
        <w:spacing/>
        <w:ind w:firstLine="2731"/>
        <w:rPr>
          <w:rFonts w:ascii="宋体" w:hAnsi="宋体" w:eastAsia="宋体" w:cs="宋体"/>
          <w:b/>
          <w:bCs/>
          <w:szCs w:val="32"/>
        </w:rPr>
      </w:pPr>
      <w:r>
        <w:rPr>
          <w:rFonts w:ascii="宋体" w:hAnsi="宋体" w:eastAsia="宋体" w:cs="宋体"/>
          <w:b/>
          <w:bCs/>
          <w:szCs w:val="32"/>
        </w:rPr>
      </w:r>
      <w:r>
        <w:rPr>
          <w:rFonts w:ascii="宋体" w:hAnsi="宋体" w:eastAsia="宋体" w:cs="宋体"/>
          <w:b/>
          <w:bCs/>
          <w:szCs w:val="32"/>
        </w:rPr>
      </w:r>
    </w:p>
    <w:p>
      <w:pPr>
        <w:pBdr/>
        <w:spacing/>
        <w:ind w:firstLine="1285"/>
        <w:rPr>
          <w:rFonts w:ascii="宋体" w:hAnsi="宋体" w:eastAsia="宋体" w:cs="宋体"/>
          <w:b/>
          <w:bCs/>
          <w:szCs w:val="32"/>
        </w:rPr>
      </w:pPr>
      <w:r>
        <w:rPr>
          <w:rFonts w:hint="eastAsia" w:ascii="宋体" w:hAnsi="宋体" w:eastAsia="宋体" w:cs="宋体"/>
          <w:b/>
          <w:bCs/>
          <w:szCs w:val="32"/>
        </w:rPr>
        <w:t xml:space="preserve">绩效评价单位：湖北德佳会计师事务所（普通合伙</w:t>
      </w:r>
      <w:r>
        <w:rPr>
          <w:rFonts w:ascii="宋体" w:hAnsi="宋体" w:eastAsia="宋体" w:cs="宋体"/>
          <w:b/>
          <w:bCs/>
          <w:szCs w:val="32"/>
        </w:rPr>
        <w:t xml:space="preserve">）</w:t>
      </w:r>
      <w:r>
        <w:rPr>
          <w:rFonts w:ascii="宋体" w:hAnsi="宋体" w:eastAsia="宋体" w:cs="宋体"/>
          <w:b/>
          <w:bCs/>
          <w:szCs w:val="32"/>
        </w:rPr>
      </w:r>
    </w:p>
    <w:p>
      <w:pPr>
        <w:pBdr/>
        <w:spacing/>
        <w:ind w:firstLine="964"/>
        <w:jc w:val="center"/>
        <w:rPr>
          <w:rFonts w:ascii="宋体" w:hAnsi="宋体" w:cs="宋体"/>
          <w:b/>
          <w:bCs/>
          <w:szCs w:val="32"/>
        </w:rPr>
      </w:pPr>
      <w:r>
        <w:rPr>
          <w:rFonts w:ascii="宋体" w:hAnsi="宋体" w:cs="宋体"/>
          <w:b/>
          <w:bCs/>
          <w:szCs w:val="32"/>
        </w:rPr>
      </w:r>
      <w:r>
        <w:rPr>
          <w:rFonts w:ascii="宋体" w:hAnsi="宋体" w:cs="宋体"/>
          <w:b/>
          <w:bCs/>
          <w:szCs w:val="32"/>
        </w:rPr>
      </w:r>
    </w:p>
    <w:p>
      <w:pPr>
        <w:pBdr/>
        <w:spacing/>
        <w:ind/>
        <w:jc w:val="center"/>
        <w:rPr>
          <w:rFonts w:hint="eastAsia" w:ascii="宋体" w:hAnsi="宋体" w:eastAsia="宋体" w:cs="宋体"/>
          <w:b/>
          <w:bCs/>
          <w:szCs w:val="32"/>
        </w:rPr>
      </w:pPr>
      <w:r>
        <w:rPr>
          <w:rFonts w:hint="eastAsia" w:ascii="宋体" w:hAnsi="宋体" w:eastAsia="宋体" w:cs="宋体"/>
          <w:b/>
          <w:bCs/>
          <w:szCs w:val="32"/>
        </w:rPr>
        <w:t xml:space="preserve">二〇二二年四月</w:t>
      </w:r>
      <w:r>
        <w:rPr>
          <w:rFonts w:hint="eastAsia" w:ascii="宋体" w:hAnsi="宋体" w:eastAsia="宋体" w:cs="宋体"/>
          <w:b/>
          <w:bCs/>
          <w:szCs w:val="32"/>
        </w:rPr>
      </w:r>
    </w:p>
    <w:p>
      <w:pPr>
        <w:pBdr/>
        <w:spacing/>
        <w:ind/>
        <w:jc w:val="center"/>
        <w:rPr>
          <w:rFonts w:ascii="宋体" w:hAnsi="宋体" w:eastAsia="宋体" w:cs="宋体"/>
          <w:b/>
          <w:bCs/>
          <w:szCs w:val="32"/>
        </w:rPr>
      </w:pPr>
      <w:r>
        <w:rPr>
          <w:rFonts w:ascii="宋体" w:hAnsi="宋体" w:eastAsia="宋体" w:cs="宋体"/>
          <w:b/>
          <w:bCs/>
          <w:szCs w:val="32"/>
        </w:rPr>
      </w:r>
      <w:r>
        <w:rPr>
          <w:rFonts w:ascii="宋体" w:hAnsi="宋体" w:eastAsia="宋体" w:cs="宋体"/>
          <w:b/>
          <w:bCs/>
          <w:szCs w:val="32"/>
        </w:rPr>
      </w:r>
    </w:p>
    <w:p>
      <w:pPr>
        <w:pBdr/>
        <w:spacing w:line="420" w:lineRule="auto"/>
        <w:ind/>
        <w:jc w:val="center"/>
        <w:rPr>
          <w:rFonts w:ascii="宋体" w:hAnsi="宋体" w:eastAsia="宋体" w:cs="宋体"/>
          <w:b/>
          <w:sz w:val="44"/>
          <w:szCs w:val="44"/>
        </w:rPr>
      </w:pPr>
      <w:r>
        <w:rPr>
          <w:rFonts w:hint="eastAsia" w:ascii="宋体" w:hAnsi="宋体" w:eastAsia="宋体" w:cs="宋体"/>
          <w:b/>
          <w:sz w:val="44"/>
          <w:szCs w:val="44"/>
        </w:rPr>
        <w:t xml:space="preserve">随州市住房和城乡建设信息中心2021年度部门整体支出绩效自评报告</w:t>
      </w:r>
      <w:r>
        <w:rPr>
          <w:rFonts w:ascii="宋体" w:hAnsi="宋体" w:eastAsia="宋体" w:cs="宋体"/>
          <w:b/>
          <w:sz w:val="44"/>
          <w:szCs w:val="44"/>
        </w:rPr>
      </w:r>
    </w:p>
    <w:p>
      <w:pPr>
        <w:pBdr/>
        <w:spacing w:line="384" w:lineRule="auto"/>
        <w:ind w:firstLine="640"/>
        <w:rPr>
          <w:rFonts w:ascii="宋体" w:hAnsi="宋体" w:eastAsia="宋体"/>
          <w:szCs w:val="32"/>
        </w:rPr>
      </w:pPr>
      <w:r>
        <w:rPr>
          <w:rFonts w:hint="eastAsia" w:ascii="宋体" w:hAnsi="宋体" w:eastAsia="宋体"/>
          <w:szCs w:val="32"/>
        </w:rPr>
        <w:t xml:space="preserve">根据《市财政局关于开展2021年度市本级财政支出绩效自评工作的通知》（随财函【2022】32号），随州市住房和城乡建设信息中心根据工作职能，结合单位整体支出的实际情况，在财政局的指导下，严格按照预算绩效管理的规定，对2021年度随州市住房和城乡建设信息中心整体支出进行了认真自评,现将有关情况报告如下：</w:t>
      </w:r>
      <w:r>
        <w:rPr>
          <w:rFonts w:ascii="宋体" w:hAnsi="宋体" w:eastAsia="宋体"/>
          <w:szCs w:val="32"/>
        </w:rPr>
      </w:r>
    </w:p>
    <w:p>
      <w:pPr>
        <w:pBdr/>
        <w:spacing w:line="384" w:lineRule="auto"/>
        <w:ind w:firstLine="643"/>
        <w:rPr>
          <w:rFonts w:ascii="宋体" w:hAnsi="宋体" w:eastAsia="宋体"/>
          <w:b/>
          <w:szCs w:val="32"/>
        </w:rPr>
      </w:pPr>
      <w:r>
        <w:rPr>
          <w:rFonts w:ascii="宋体" w:hAnsi="宋体" w:eastAsia="宋体"/>
          <w:b/>
          <w:szCs w:val="32"/>
        </w:rPr>
        <w:t xml:space="preserve">一、自评结论</w:t>
      </w:r>
      <w:r>
        <w:rPr>
          <w:rFonts w:ascii="宋体" w:hAnsi="宋体" w:eastAsia="宋体"/>
          <w:b/>
          <w:szCs w:val="32"/>
        </w:rPr>
      </w:r>
    </w:p>
    <w:p>
      <w:pPr>
        <w:pBdr/>
        <w:spacing w:line="384" w:lineRule="auto"/>
        <w:ind w:firstLine="640"/>
        <w:rPr>
          <w:rFonts w:ascii="宋体" w:hAnsi="宋体" w:eastAsia="宋体"/>
          <w:szCs w:val="32"/>
        </w:rPr>
      </w:pPr>
      <w:r>
        <w:rPr>
          <w:rFonts w:ascii="宋体" w:hAnsi="宋体" w:eastAsia="宋体"/>
          <w:szCs w:val="32"/>
        </w:rPr>
        <w:t xml:space="preserve">（一）部门整体绩效自评得分</w:t>
      </w:r>
      <w:r>
        <w:rPr>
          <w:rFonts w:hint="eastAsia" w:ascii="宋体" w:hAnsi="宋体" w:eastAsia="宋体"/>
          <w:szCs w:val="32"/>
        </w:rPr>
        <w:t xml:space="preserve">：</w:t>
      </w:r>
      <w:r>
        <w:rPr>
          <w:rFonts w:hint="eastAsia" w:ascii="宋体" w:hAnsi="宋体" w:eastAsia="宋体"/>
          <w:color w:val="ff0000"/>
          <w:szCs w:val="32"/>
          <w:lang w:val="en-US" w:eastAsia="zh-CN"/>
        </w:rPr>
        <w:t xml:space="preserve">88.68</w:t>
      </w:r>
      <w:r>
        <w:rPr>
          <w:rFonts w:hint="eastAsia" w:ascii="宋体" w:hAnsi="宋体" w:eastAsia="宋体"/>
          <w:szCs w:val="32"/>
        </w:rPr>
        <w:t xml:space="preserve">分</w:t>
      </w:r>
      <w:r>
        <w:rPr>
          <w:rFonts w:ascii="宋体" w:hAnsi="宋体" w:eastAsia="宋体"/>
          <w:szCs w:val="32"/>
        </w:rPr>
      </w:r>
    </w:p>
    <w:p>
      <w:pPr>
        <w:pBdr/>
        <w:spacing w:line="384" w:lineRule="auto"/>
        <w:ind w:firstLine="640"/>
        <w:rPr>
          <w:rFonts w:ascii="宋体" w:hAnsi="宋体" w:eastAsia="宋体"/>
          <w:szCs w:val="32"/>
        </w:rPr>
      </w:pPr>
      <w:r>
        <w:rPr>
          <w:rFonts w:ascii="宋体" w:hAnsi="宋体" w:eastAsia="宋体"/>
          <w:szCs w:val="32"/>
        </w:rPr>
        <w:t xml:space="preserve">（二）部门整体绩效目标完成情况</w:t>
      </w:r>
      <w:r>
        <w:rPr>
          <w:rFonts w:ascii="宋体" w:hAnsi="宋体" w:eastAsia="宋体"/>
          <w:szCs w:val="32"/>
        </w:rPr>
      </w:r>
    </w:p>
    <w:p>
      <w:pPr>
        <w:pBdr/>
        <w:spacing w:line="384" w:lineRule="auto"/>
        <w:ind w:firstLine="640"/>
        <w:rPr>
          <w:rFonts w:ascii="宋体" w:hAnsi="宋体" w:eastAsia="宋体"/>
          <w:szCs w:val="32"/>
        </w:rPr>
      </w:pPr>
      <w:r>
        <w:rPr>
          <w:rFonts w:ascii="宋体" w:hAnsi="宋体" w:eastAsia="宋体"/>
          <w:szCs w:val="32"/>
        </w:rPr>
        <w:t xml:space="preserve">1</w:t>
      </w:r>
      <w:r>
        <w:rPr>
          <w:rFonts w:hint="eastAsia" w:ascii="宋体" w:hAnsi="宋体" w:eastAsia="宋体"/>
          <w:szCs w:val="32"/>
        </w:rPr>
        <w:t xml:space="preserve">、</w:t>
      </w:r>
      <w:r>
        <w:rPr>
          <w:rFonts w:hint="eastAsia" w:ascii="宋体" w:hAnsi="宋体" w:eastAsia="宋体" w:cs="仿宋"/>
          <w:szCs w:val="32"/>
        </w:rPr>
        <w:t xml:space="preserve">预算</w:t>
      </w:r>
      <w:r>
        <w:rPr>
          <w:rFonts w:ascii="宋体" w:hAnsi="宋体" w:eastAsia="宋体" w:cs="仿宋"/>
          <w:szCs w:val="32"/>
        </w:rPr>
        <w:t xml:space="preserve">执行率情况</w:t>
      </w:r>
      <w:r>
        <w:rPr>
          <w:rFonts w:hint="eastAsia" w:ascii="宋体" w:hAnsi="宋体" w:eastAsia="宋体"/>
          <w:szCs w:val="32"/>
        </w:rPr>
        <w:t xml:space="preserve">。2021年部门整体预算支出总额</w:t>
      </w:r>
      <w:r>
        <w:rPr>
          <w:rFonts w:hint="eastAsia" w:ascii="宋体" w:hAnsi="宋体" w:eastAsia="宋体" w:cs="仿宋_GB2312"/>
          <w:color w:val="ff0000"/>
          <w:szCs w:val="32"/>
          <w:lang w:val="en-US" w:eastAsia="zh-CN"/>
        </w:rPr>
        <w:t xml:space="preserve">183.55</w:t>
      </w:r>
      <w:r>
        <w:rPr>
          <w:rFonts w:hint="eastAsia" w:ascii="宋体" w:hAnsi="宋体" w:eastAsia="宋体"/>
          <w:color w:val="ff0000"/>
          <w:szCs w:val="32"/>
        </w:rPr>
        <w:t xml:space="preserve">万元，实际支出总额</w:t>
      </w:r>
      <w:r>
        <w:rPr>
          <w:rFonts w:hint="eastAsia" w:ascii="宋体" w:hAnsi="宋体" w:eastAsia="宋体"/>
          <w:color w:val="ff0000"/>
          <w:szCs w:val="32"/>
          <w:lang w:val="en-US" w:eastAsia="zh-CN"/>
        </w:rPr>
        <w:t xml:space="preserve">97.97</w:t>
      </w:r>
      <w:r>
        <w:rPr>
          <w:rFonts w:hint="eastAsia" w:ascii="宋体" w:hAnsi="宋体" w:eastAsia="宋体"/>
          <w:color w:val="ff0000"/>
          <w:szCs w:val="32"/>
        </w:rPr>
        <w:t xml:space="preserve">万元，预算执行率</w:t>
      </w:r>
      <w:r>
        <w:rPr>
          <w:rFonts w:hint="eastAsia" w:ascii="宋体" w:hAnsi="宋体" w:eastAsia="宋体"/>
          <w:color w:val="ff0000"/>
          <w:szCs w:val="32"/>
          <w:lang w:val="en-US" w:eastAsia="zh-CN"/>
        </w:rPr>
        <w:t xml:space="preserve">53.38</w:t>
      </w:r>
      <w:r>
        <w:rPr>
          <w:rFonts w:hint="eastAsia" w:ascii="宋体" w:hAnsi="宋体" w:eastAsia="宋体"/>
          <w:color w:val="ff0000"/>
          <w:szCs w:val="32"/>
        </w:rPr>
        <w:t xml:space="preserve">%</w:t>
      </w:r>
      <w:r>
        <w:rPr>
          <w:rFonts w:hint="eastAsia" w:ascii="宋体" w:hAnsi="宋体" w:eastAsia="宋体"/>
          <w:szCs w:val="32"/>
        </w:rPr>
        <w:t xml:space="preserve">。</w:t>
      </w:r>
      <w:r>
        <w:rPr>
          <w:rFonts w:ascii="宋体" w:hAnsi="宋体" w:eastAsia="宋体"/>
          <w:szCs w:val="32"/>
        </w:rPr>
      </w:r>
    </w:p>
    <w:p>
      <w:pPr>
        <w:pBdr/>
        <w:spacing w:line="384" w:lineRule="auto"/>
        <w:ind w:firstLine="640"/>
        <w:rPr>
          <w:rFonts w:ascii="宋体" w:hAnsi="宋体" w:eastAsia="宋体"/>
          <w:szCs w:val="32"/>
        </w:rPr>
      </w:pPr>
      <w:r>
        <w:rPr>
          <w:rFonts w:ascii="宋体" w:hAnsi="宋体" w:eastAsia="宋体"/>
          <w:szCs w:val="32"/>
        </w:rPr>
        <w:t xml:space="preserve">2</w:t>
      </w:r>
      <w:r>
        <w:rPr>
          <w:rFonts w:hint="eastAsia" w:ascii="宋体" w:hAnsi="宋体" w:eastAsia="宋体"/>
          <w:szCs w:val="32"/>
        </w:rPr>
        <w:t xml:space="preserve">、部门</w:t>
      </w:r>
      <w:r>
        <w:rPr>
          <w:rFonts w:ascii="宋体" w:hAnsi="宋体" w:eastAsia="宋体"/>
          <w:szCs w:val="32"/>
        </w:rPr>
        <w:t xml:space="preserve">绩效</w:t>
      </w:r>
      <w:r>
        <w:rPr>
          <w:rFonts w:hint="eastAsia" w:ascii="宋体" w:hAnsi="宋体" w:eastAsia="宋体"/>
          <w:szCs w:val="32"/>
        </w:rPr>
        <w:t xml:space="preserve">目标：2021年度全面实现机构整合，人员合并，职能定位，逐步建立规章制度。通过招标引入银行，清理存量，住宅专项维修资金管理走上正规化。多方协调，开启“智慧工地”建设新篇章。多点发力，瞄准重点，聚焦办实事突显新作用。</w:t>
      </w:r>
      <w:r>
        <w:rPr>
          <w:rFonts w:ascii="宋体" w:hAnsi="宋体" w:eastAsia="宋体"/>
          <w:szCs w:val="32"/>
        </w:rPr>
      </w:r>
    </w:p>
    <w:p>
      <w:pPr>
        <w:pBdr/>
        <w:spacing w:line="384" w:lineRule="auto"/>
        <w:ind w:firstLine="640"/>
        <w:rPr>
          <w:rFonts w:ascii="宋体" w:hAnsi="宋体" w:eastAsia="宋体" w:cs="仿宋"/>
          <w:szCs w:val="32"/>
        </w:rPr>
      </w:pPr>
      <w:r>
        <w:rPr>
          <w:rFonts w:hint="eastAsia" w:ascii="宋体" w:hAnsi="宋体" w:eastAsia="宋体" w:cs="仿宋"/>
          <w:szCs w:val="32"/>
        </w:rPr>
        <w:fldChar w:fldCharType="begin"/>
      </w:r>
      <w:r>
        <w:rPr>
          <w:rFonts w:hint="eastAsia" w:ascii="宋体" w:hAnsi="宋体" w:eastAsia="宋体" w:cs="仿宋"/>
          <w:szCs w:val="32"/>
        </w:rPr>
        <w:instrText xml:space="preserve"> = 1 \* GB3 \* MERGEFORMAT </w:instrText>
      </w:r>
      <w:r>
        <w:rPr>
          <w:rFonts w:hint="eastAsia" w:ascii="宋体" w:hAnsi="宋体" w:eastAsia="宋体" w:cs="仿宋"/>
          <w:szCs w:val="32"/>
        </w:rPr>
        <w:fldChar w:fldCharType="separate"/>
      </w:r>
      <w:r>
        <w:t xml:space="preserve">①</w:t>
      </w:r>
      <w:r>
        <w:rPr>
          <w:rFonts w:hint="eastAsia" w:ascii="宋体" w:hAnsi="宋体" w:eastAsia="宋体" w:cs="仿宋"/>
          <w:szCs w:val="32"/>
        </w:rPr>
        <w:fldChar w:fldCharType="end"/>
      </w:r>
      <w:r>
        <w:rPr>
          <w:rFonts w:hint="eastAsia" w:ascii="宋体" w:hAnsi="宋体" w:eastAsia="宋体" w:cs="仿宋"/>
          <w:szCs w:val="32"/>
        </w:rPr>
        <w:t xml:space="preserve">完成的绩效指标</w:t>
      </w:r>
      <w:r>
        <w:rPr>
          <w:rFonts w:ascii="宋体" w:hAnsi="宋体" w:eastAsia="宋体" w:cs="仿宋"/>
          <w:szCs w:val="32"/>
        </w:rPr>
      </w:r>
    </w:p>
    <w:p>
      <w:pPr>
        <w:pBdr/>
        <w:spacing w:line="384" w:lineRule="auto"/>
        <w:ind w:firstLine="640"/>
        <w:rPr>
          <w:rFonts w:hint="eastAsia" w:ascii="宋体" w:hAnsi="宋体" w:eastAsia="宋体" w:cs="仿宋"/>
          <w:szCs w:val="32"/>
        </w:rPr>
      </w:pPr>
      <w:r>
        <w:rPr>
          <w:rFonts w:hint="eastAsia" w:ascii="宋体" w:hAnsi="宋体" w:eastAsia="宋体" w:cs="仿宋"/>
          <w:szCs w:val="32"/>
        </w:rPr>
        <w:t xml:space="preserve">（1）、</w:t>
      </w:r>
      <w:r>
        <w:rPr>
          <w:rFonts w:hint="eastAsia" w:ascii="宋体" w:hAnsi="宋体" w:eastAsia="宋体" w:cs="仿宋"/>
          <w:bCs/>
          <w:szCs w:val="32"/>
        </w:rPr>
        <w:t xml:space="preserve">加快存量维修资金清理，</w:t>
      </w:r>
      <w:r>
        <w:rPr>
          <w:rFonts w:hint="eastAsia" w:ascii="宋体" w:hAnsi="宋体" w:eastAsia="宋体" w:cs="仿宋"/>
          <w:szCs w:val="32"/>
        </w:rPr>
        <w:t xml:space="preserve">全面启动维修资金历史数据清理录入工作，截至目前完成了5.1万笔交存业务补录，共计补录金额为2.65亿元。</w:t>
      </w:r>
      <w:r>
        <w:rPr>
          <w:rFonts w:hint="eastAsia" w:ascii="宋体" w:hAnsi="宋体" w:eastAsia="宋体" w:cs="仿宋"/>
          <w:szCs w:val="32"/>
        </w:rPr>
      </w:r>
    </w:p>
    <w:p>
      <w:pPr>
        <w:pBdr/>
        <w:spacing w:line="384" w:lineRule="auto"/>
        <w:ind w:firstLine="640"/>
        <w:rPr>
          <w:rFonts w:ascii="宋体" w:hAnsi="宋体" w:eastAsia="宋体" w:cs="仿宋"/>
          <w:szCs w:val="32"/>
        </w:rPr>
      </w:pPr>
      <w:r>
        <w:rPr>
          <w:rFonts w:hint="eastAsia" w:ascii="宋体" w:hAnsi="宋体" w:eastAsia="宋体" w:cs="仿宋"/>
          <w:szCs w:val="32"/>
        </w:rPr>
        <w:t xml:space="preserve">（2）、推进住房保障信息化便民利民，共解决70余次系统数据、程序优化等问题，解决地下车位多户多位的车位备案、资源共享平台数据交换、维修资金数据统计需求完善、历史楼盘表锁定解除、网签备案及维修资金缴存与不动产同步数据等系统问题。预售资金监管系统目前已对接工行、建行和邮储，分别部署专用线路，建行随州分行已完成测试，可启动上线工作。</w:t>
      </w:r>
      <w:r>
        <w:rPr>
          <w:rFonts w:ascii="宋体" w:hAnsi="宋体" w:eastAsia="宋体" w:cs="仿宋"/>
          <w:szCs w:val="32"/>
        </w:rPr>
      </w:r>
    </w:p>
    <w:p>
      <w:pPr>
        <w:pBdr/>
        <w:spacing w:line="384" w:lineRule="auto"/>
        <w:ind w:firstLine="640"/>
        <w:rPr>
          <w:rFonts w:ascii="宋体" w:hAnsi="宋体" w:eastAsia="宋体" w:cs="仿宋"/>
          <w:szCs w:val="32"/>
        </w:rPr>
      </w:pPr>
      <w:r>
        <w:rPr>
          <w:rFonts w:hint="eastAsia" w:ascii="宋体" w:hAnsi="宋体" w:eastAsia="宋体" w:cs="仿宋"/>
          <w:szCs w:val="32"/>
        </w:rPr>
        <w:t xml:space="preserve">（3）、推进网签备案数据、维修资金缴存数据与不动产登记数据的对接，处理历史数据的遗留问题，2021年协助不动产部门共处理了网签合同备案数据同步问题约6万条，其中市辖区完善不动产需求的合同数据约5万条，随县进行合同数据推送约1万条。</w:t>
      </w:r>
      <w:r>
        <w:rPr>
          <w:rFonts w:ascii="宋体" w:hAnsi="宋体" w:eastAsia="宋体" w:cs="仿宋"/>
          <w:szCs w:val="32"/>
        </w:rPr>
      </w:r>
    </w:p>
    <w:p>
      <w:pPr>
        <w:pBdr/>
        <w:spacing w:line="384" w:lineRule="auto"/>
        <w:ind w:firstLine="640"/>
        <w:rPr>
          <w:rFonts w:ascii="宋体" w:hAnsi="宋体" w:eastAsia="宋体" w:cs="仿宋"/>
          <w:szCs w:val="32"/>
        </w:rPr>
      </w:pPr>
      <w:r>
        <w:rPr>
          <w:rFonts w:hint="eastAsia" w:ascii="宋体" w:hAnsi="宋体" w:eastAsia="宋体" w:cs="仿宋"/>
          <w:szCs w:val="32"/>
        </w:rPr>
        <w:t xml:space="preserve">（4）、会同市房产市场所，多次对接税务、不动产登记和公积金中心等部门，打通了商品房网签备案部门间的信息壁垒，全面实现了商品房网签备案信息实时共享，提供材料由原5份减少至2份。</w:t>
      </w:r>
      <w:r>
        <w:rPr>
          <w:rFonts w:ascii="宋体" w:hAnsi="宋体" w:eastAsia="宋体" w:cs="仿宋"/>
          <w:szCs w:val="32"/>
        </w:rPr>
      </w:r>
    </w:p>
    <w:p>
      <w:pPr>
        <w:pBdr/>
        <w:spacing w:line="384" w:lineRule="auto"/>
        <w:ind w:firstLine="640"/>
        <w:rPr>
          <w:rFonts w:ascii="宋体" w:hAnsi="宋体" w:eastAsia="宋体" w:cs="仿宋"/>
          <w:szCs w:val="32"/>
        </w:rPr>
      </w:pPr>
      <w:r>
        <w:rPr>
          <w:rFonts w:hint="eastAsia" w:ascii="宋体" w:hAnsi="宋体" w:eastAsia="宋体" w:cs="仿宋"/>
          <w:szCs w:val="32"/>
        </w:rPr>
        <w:t xml:space="preserve">（5）、落实“互联网+政务服务”要求，对住建房产部门网上办件服务事项进行适应性改造，对接“鄂汇办”，已实现四个网上办件服务事项的查询，其中包括商品房预售许可、网签合同备案、住保资格审核和住保状态移动端查询功能。</w:t>
      </w:r>
      <w:r>
        <w:rPr>
          <w:rFonts w:ascii="宋体" w:hAnsi="宋体" w:eastAsia="宋体" w:cs="仿宋"/>
          <w:szCs w:val="32"/>
        </w:rPr>
      </w:r>
    </w:p>
    <w:p>
      <w:pPr>
        <w:pBdr/>
        <w:spacing w:line="384" w:lineRule="auto"/>
        <w:ind w:firstLine="640"/>
        <w:rPr>
          <w:rFonts w:hint="eastAsia" w:ascii="宋体" w:hAnsi="宋体" w:eastAsia="宋体" w:cs="仿宋"/>
          <w:szCs w:val="32"/>
        </w:rPr>
      </w:pPr>
      <w:r>
        <w:rPr>
          <w:rFonts w:hint="eastAsia" w:ascii="宋体" w:hAnsi="宋体" w:eastAsia="宋体" w:cs="仿宋"/>
          <w:szCs w:val="32"/>
        </w:rPr>
        <w:t xml:space="preserve">（6）、严格落实领导干部房产查核工作，及时准确完成领导干部个人住房查核236批次，查核人数4529人次，全部按时完成查核任务。</w:t>
      </w:r>
      <w:r>
        <w:rPr>
          <w:rFonts w:hint="eastAsia" w:ascii="宋体" w:hAnsi="宋体" w:eastAsia="宋体" w:cs="仿宋"/>
          <w:szCs w:val="32"/>
        </w:rPr>
      </w:r>
    </w:p>
    <w:p>
      <w:pPr>
        <w:pBdr/>
        <w:spacing w:line="384" w:lineRule="auto"/>
        <w:ind w:firstLine="640"/>
        <w:rPr>
          <w:rFonts w:ascii="宋体" w:hAnsi="宋体" w:eastAsia="宋体" w:cs="仿宋"/>
          <w:szCs w:val="32"/>
        </w:rPr>
      </w:pPr>
      <w:r>
        <w:rPr>
          <w:rFonts w:hint="eastAsia" w:ascii="宋体" w:hAnsi="宋体" w:eastAsia="宋体" w:cs="仿宋"/>
          <w:szCs w:val="32"/>
        </w:rPr>
        <w:t xml:space="preserve">（7）、初步建成智慧排水信息系统，已完成约500公里排水管网普查工作，实现40公里的CCTV管道检测工作，对接气象局数据，下一步打造排水污水管理指挥中心。</w:t>
      </w:r>
      <w:r>
        <w:rPr>
          <w:rFonts w:ascii="宋体" w:hAnsi="宋体" w:eastAsia="宋体" w:cs="仿宋"/>
          <w:szCs w:val="32"/>
        </w:rPr>
      </w:r>
    </w:p>
    <w:p>
      <w:pPr>
        <w:pBdr/>
        <w:spacing w:line="384" w:lineRule="auto"/>
        <w:ind w:firstLine="640"/>
        <w:rPr>
          <w:rFonts w:ascii="宋体" w:hAnsi="宋体" w:eastAsia="宋体" w:cs="仿宋"/>
          <w:szCs w:val="32"/>
        </w:rPr>
      </w:pPr>
      <w:r>
        <w:rPr>
          <w:rFonts w:hint="eastAsia" w:ascii="宋体" w:hAnsi="宋体" w:eastAsia="宋体" w:cs="仿宋"/>
          <w:szCs w:val="32"/>
        </w:rPr>
        <w:t xml:space="preserve">（8）、加强对外信息宣传，传达学习信息宣传重要性，指定专人负责信息宣传工作，全年被随州日报采用1篇，住建公众号采用3篇，住建厅采用1篇，住建信息采用1篇。</w:t>
      </w:r>
      <w:r>
        <w:rPr>
          <w:rFonts w:ascii="宋体" w:hAnsi="宋体" w:eastAsia="宋体" w:cs="仿宋"/>
          <w:szCs w:val="32"/>
        </w:rPr>
      </w:r>
    </w:p>
    <w:p>
      <w:pPr>
        <w:pBdr/>
        <w:spacing w:line="384" w:lineRule="auto"/>
        <w:ind w:firstLine="640"/>
        <w:rPr>
          <w:rFonts w:ascii="宋体" w:hAnsi="宋体" w:eastAsia="宋体" w:cs="仿宋"/>
          <w:szCs w:val="32"/>
        </w:rPr>
      </w:pPr>
      <w:r>
        <w:rPr>
          <w:rFonts w:hint="eastAsia" w:ascii="宋体" w:hAnsi="宋体" w:eastAsia="宋体" w:cs="仿宋"/>
          <w:szCs w:val="32"/>
        </w:rPr>
        <w:t xml:space="preserve">（9）、切实解决群众关心关注的焦点问题，立案查处质量安全、物业管理等违法违规行为项目13个，处罚违法违规建筑业企业11家、房地产企业8家、物业企业1家、项目负责人11人。</w:t>
      </w:r>
      <w:r>
        <w:rPr>
          <w:rFonts w:ascii="宋体" w:hAnsi="宋体" w:eastAsia="宋体" w:cs="仿宋"/>
          <w:szCs w:val="32"/>
        </w:rPr>
      </w:r>
    </w:p>
    <w:p>
      <w:pPr>
        <w:pBdr/>
        <w:spacing w:line="384" w:lineRule="auto"/>
        <w:ind w:firstLine="640"/>
        <w:rPr>
          <w:rFonts w:ascii="宋体" w:hAnsi="宋体" w:eastAsia="宋体" w:cs="仿宋"/>
          <w:szCs w:val="32"/>
        </w:rPr>
      </w:pPr>
      <w:r>
        <w:rPr>
          <w:rFonts w:ascii="宋体" w:hAnsi="宋体" w:eastAsia="宋体" w:cs="仿宋"/>
          <w:szCs w:val="32"/>
        </w:rPr>
        <w:fldChar w:fldCharType="begin"/>
      </w:r>
      <w:r>
        <w:rPr>
          <w:rFonts w:ascii="宋体" w:hAnsi="宋体" w:eastAsia="宋体" w:cs="仿宋"/>
          <w:szCs w:val="32"/>
        </w:rPr>
        <w:instrText xml:space="preserve"> = 2 \* GB3 \* MERGEFORMAT </w:instrText>
      </w:r>
      <w:r>
        <w:rPr>
          <w:rFonts w:ascii="宋体" w:hAnsi="宋体" w:eastAsia="宋体" w:cs="仿宋"/>
          <w:szCs w:val="32"/>
        </w:rPr>
        <w:fldChar w:fldCharType="separate"/>
      </w:r>
      <w:r>
        <w:t xml:space="preserve">②</w:t>
      </w:r>
      <w:r>
        <w:rPr>
          <w:rFonts w:ascii="宋体" w:hAnsi="宋体" w:eastAsia="宋体" w:cs="仿宋"/>
          <w:szCs w:val="32"/>
        </w:rPr>
        <w:fldChar w:fldCharType="end"/>
      </w:r>
      <w:r>
        <w:rPr>
          <w:rFonts w:hint="eastAsia" w:ascii="宋体" w:hAnsi="宋体" w:eastAsia="宋体" w:cs="仿宋"/>
          <w:szCs w:val="32"/>
        </w:rPr>
        <w:t xml:space="preserve">未完成的绩效目标</w:t>
      </w:r>
      <w:r>
        <w:rPr>
          <w:rFonts w:ascii="宋体" w:hAnsi="宋体" w:eastAsia="宋体" w:cs="仿宋"/>
          <w:szCs w:val="32"/>
        </w:rPr>
      </w:r>
    </w:p>
    <w:p>
      <w:pPr>
        <w:pBdr/>
        <w:spacing w:line="384" w:lineRule="auto"/>
        <w:ind w:firstLine="640"/>
        <w:rPr>
          <w:rFonts w:hint="eastAsia" w:ascii="宋体" w:hAnsi="宋体" w:eastAsia="宋体" w:cs="仿宋"/>
          <w:szCs w:val="32"/>
        </w:rPr>
      </w:pPr>
      <w:r>
        <w:rPr>
          <w:rFonts w:hint="eastAsia" w:ascii="宋体" w:hAnsi="宋体" w:eastAsia="宋体" w:cs="仿宋"/>
          <w:szCs w:val="32"/>
        </w:rPr>
        <w:t xml:space="preserve">（1）、预计</w:t>
      </w:r>
      <w:r>
        <w:rPr>
          <w:rFonts w:hint="eastAsia" w:ascii="宋体" w:hAnsi="宋体" w:eastAsia="宋体" w:cs="仿宋"/>
          <w:szCs w:val="32"/>
          <w:lang w:val="en-US" w:eastAsia="zh-CN"/>
        </w:rPr>
        <w:t xml:space="preserve">2022年</w:t>
      </w:r>
      <w:r>
        <w:rPr>
          <w:rFonts w:hint="eastAsia" w:ascii="宋体" w:hAnsi="宋体" w:eastAsia="宋体" w:cs="仿宋"/>
          <w:szCs w:val="32"/>
        </w:rPr>
        <w:t xml:space="preserve">年初完成维修资金历史数据交存、支取、分摊等数据整理，</w:t>
      </w:r>
      <w:r>
        <w:rPr>
          <w:rFonts w:hint="eastAsia" w:ascii="宋体" w:hAnsi="宋体" w:eastAsia="宋体" w:cs="仿宋"/>
          <w:szCs w:val="32"/>
        </w:rPr>
      </w:r>
    </w:p>
    <w:p>
      <w:pPr>
        <w:pBdr/>
        <w:spacing w:line="384" w:lineRule="auto"/>
        <w:ind w:firstLine="640"/>
        <w:rPr>
          <w:rFonts w:ascii="宋体" w:hAnsi="宋体" w:eastAsia="宋体" w:cs="仿宋"/>
          <w:szCs w:val="32"/>
        </w:rPr>
      </w:pPr>
      <w:r>
        <w:rPr>
          <w:rFonts w:hint="eastAsia" w:ascii="宋体" w:hAnsi="宋体" w:eastAsia="宋体" w:cs="仿宋"/>
          <w:szCs w:val="32"/>
        </w:rPr>
        <w:t xml:space="preserve">（2）、存量房资金托管系统因无相应配套制度支撑，暂不能配置相应功能。</w:t>
      </w:r>
      <w:r>
        <w:rPr>
          <w:rFonts w:ascii="宋体" w:hAnsi="宋体" w:eastAsia="宋体" w:cs="仿宋"/>
          <w:szCs w:val="32"/>
        </w:rPr>
      </w:r>
    </w:p>
    <w:p>
      <w:pPr>
        <w:pBdr/>
        <w:spacing w:line="384" w:lineRule="auto"/>
        <w:ind w:firstLine="640"/>
        <w:rPr>
          <w:rFonts w:ascii="宋体" w:hAnsi="宋体" w:eastAsia="宋体" w:cs="仿宋"/>
          <w:szCs w:val="32"/>
        </w:rPr>
      </w:pPr>
      <w:r>
        <w:rPr>
          <w:rFonts w:ascii="宋体" w:hAnsi="宋体" w:eastAsia="宋体" w:cs="仿宋"/>
          <w:szCs w:val="32"/>
        </w:rPr>
        <w:t xml:space="preserve">（三）存在的问题和原因</w:t>
      </w:r>
      <w:r>
        <w:rPr>
          <w:rFonts w:ascii="宋体" w:hAnsi="宋体" w:eastAsia="宋体" w:cs="仿宋"/>
          <w:szCs w:val="32"/>
        </w:rPr>
      </w:r>
    </w:p>
    <w:p>
      <w:pPr>
        <w:pBdr/>
        <w:spacing w:line="384" w:lineRule="auto"/>
        <w:ind w:firstLine="640"/>
        <w:rPr>
          <w:rFonts w:hint="eastAsia" w:ascii="宋体" w:hAnsi="宋体" w:eastAsia="宋体" w:cs="仿宋"/>
          <w:szCs w:val="32"/>
        </w:rPr>
      </w:pPr>
      <w:r>
        <w:rPr>
          <w:rFonts w:hint="eastAsia" w:ascii="宋体" w:hAnsi="宋体" w:eastAsia="宋体" w:cs="仿宋"/>
          <w:szCs w:val="32"/>
          <w:lang w:val="en-US" w:eastAsia="zh-CN"/>
        </w:rPr>
        <w:t xml:space="preserve">1、</w:t>
      </w:r>
      <w:r>
        <w:rPr>
          <w:rFonts w:hint="eastAsia" w:ascii="宋体" w:hAnsi="宋体" w:eastAsia="宋体" w:cs="仿宋"/>
          <w:szCs w:val="32"/>
          <w:lang w:eastAsia="zh-CN"/>
        </w:rPr>
        <w:t xml:space="preserve">信息</w:t>
      </w:r>
      <w:r>
        <w:rPr>
          <w:rFonts w:hint="eastAsia" w:ascii="宋体" w:hAnsi="宋体" w:eastAsia="宋体" w:cs="仿宋"/>
          <w:szCs w:val="32"/>
        </w:rPr>
        <w:t xml:space="preserve">系统升级改造缺少资金。一是系统需升级改造，无法满足“互联网+政务服务”和群众日益提高的服务要求；二是存量房资金托管子系统因没有出台相应的资金托管实施细则或管理办法，无法设置操作流程；三是住宅专项维修资金管理子系统可实现资金缴存管理，但原存量资金来源信息未完全录入，且资金纳入财政专户存储，无法实现资金使用管理；四是“智慧小区”建设需对系统进行升级改造。</w:t>
      </w:r>
      <w:r>
        <w:rPr>
          <w:rFonts w:hint="eastAsia" w:ascii="宋体" w:hAnsi="宋体" w:eastAsia="宋体" w:cs="仿宋"/>
          <w:szCs w:val="32"/>
        </w:rPr>
      </w:r>
    </w:p>
    <w:p>
      <w:pPr>
        <w:pBdr/>
        <w:spacing w:line="384" w:lineRule="auto"/>
        <w:ind w:firstLine="640"/>
        <w:rPr>
          <w:rFonts w:hint="eastAsia" w:ascii="宋体" w:hAnsi="宋体" w:eastAsia="宋体" w:cs="仿宋"/>
          <w:szCs w:val="32"/>
          <w:lang w:eastAsia="zh-CN"/>
        </w:rPr>
      </w:pPr>
      <w:r>
        <w:rPr>
          <w:rFonts w:hint="eastAsia" w:ascii="宋体" w:hAnsi="宋体" w:eastAsia="宋体" w:cs="仿宋"/>
          <w:szCs w:val="32"/>
          <w:lang w:eastAsia="zh-CN"/>
        </w:rPr>
        <w:t xml:space="preserve">2、工作经费严重不足。</w:t>
      </w:r>
      <w:r>
        <w:rPr>
          <w:rFonts w:hint="eastAsia" w:ascii="宋体" w:hAnsi="宋体" w:eastAsia="宋体" w:cs="仿宋"/>
          <w:szCs w:val="32"/>
          <w:lang w:eastAsia="zh-CN"/>
        </w:rPr>
      </w:r>
    </w:p>
    <w:p>
      <w:pPr>
        <w:pBdr/>
        <w:spacing w:line="384" w:lineRule="auto"/>
        <w:ind w:firstLine="640"/>
        <w:rPr>
          <w:rFonts w:ascii="宋体" w:hAnsi="宋体" w:eastAsia="宋体" w:cs="仿宋"/>
          <w:szCs w:val="32"/>
        </w:rPr>
      </w:pPr>
      <w:r>
        <w:rPr>
          <w:rFonts w:hint="eastAsia" w:ascii="宋体" w:hAnsi="宋体" w:eastAsia="宋体" w:cs="仿宋"/>
          <w:szCs w:val="32"/>
          <w:lang w:eastAsia="zh-CN"/>
        </w:rPr>
        <w:t xml:space="preserve">3、工作人手紧张任务重。</w:t>
      </w:r>
      <w:r>
        <w:rPr>
          <w:rFonts w:hint="eastAsia" w:ascii="宋体" w:hAnsi="宋体" w:eastAsia="宋体" w:cs="仿宋"/>
          <w:szCs w:val="32"/>
        </w:rPr>
        <w:t xml:space="preserve">在保证城镇个人住房信息系统运行维护，单位正常运转的基础上，要同时兼顾工建审批改革、“智慧工地”建设、住宅专项维修资金改革等工作。</w:t>
      </w:r>
      <w:r>
        <w:rPr>
          <w:rFonts w:ascii="宋体" w:hAnsi="宋体" w:eastAsia="宋体" w:cs="仿宋"/>
          <w:szCs w:val="32"/>
        </w:rPr>
      </w:r>
    </w:p>
    <w:p>
      <w:pPr>
        <w:pBdr/>
        <w:spacing w:line="384" w:lineRule="auto"/>
        <w:ind w:firstLine="640"/>
        <w:rPr>
          <w:rFonts w:ascii="宋体" w:hAnsi="宋体" w:eastAsia="宋体"/>
          <w:szCs w:val="32"/>
        </w:rPr>
      </w:pPr>
      <w:r>
        <w:rPr>
          <w:rFonts w:ascii="宋体" w:hAnsi="宋体" w:eastAsia="宋体" w:cs="仿宋"/>
          <w:szCs w:val="32"/>
        </w:rPr>
        <w:t xml:space="preserve">（四）</w:t>
      </w:r>
      <w:r>
        <w:rPr>
          <w:rFonts w:ascii="宋体" w:hAnsi="宋体" w:eastAsia="宋体"/>
          <w:szCs w:val="32"/>
        </w:rPr>
        <w:t xml:space="preserve">下一步拟改进措施</w:t>
      </w:r>
      <w:r>
        <w:rPr>
          <w:rFonts w:ascii="宋体" w:hAnsi="宋体" w:eastAsia="宋体"/>
          <w:szCs w:val="32"/>
        </w:rPr>
      </w:r>
    </w:p>
    <w:p>
      <w:pPr>
        <w:pBdr/>
        <w:spacing w:line="384" w:lineRule="auto"/>
        <w:ind w:firstLine="640"/>
        <w:rPr>
          <w:rFonts w:ascii="宋体" w:hAnsi="宋体" w:eastAsia="宋体" w:cs="仿宋"/>
          <w:szCs w:val="32"/>
        </w:rPr>
      </w:pPr>
      <w:r>
        <w:rPr>
          <w:rFonts w:hint="eastAsia" w:ascii="宋体" w:hAnsi="宋体" w:eastAsia="宋体" w:cs="仿宋"/>
          <w:szCs w:val="32"/>
        </w:rPr>
        <w:t xml:space="preserve">加强预算编制的前瞻性，建议按照新《预算法》及其实施条例的相关规定，按政策规定及本部门的发展规划，结合本年度预算执行情况和本年度预算收支变化因素，科学、合理地编制本年预算草案，避免项目支出与基本支出划分不准或预算支出与实际执行出现较大偏差的情况，执行中确需调剂预算的，按规定程序报经批准，避免因预算经费不足导致考核指标严重超标。</w:t>
      </w:r>
      <w:r>
        <w:rPr>
          <w:rFonts w:ascii="宋体" w:hAnsi="宋体" w:eastAsia="宋体" w:cs="仿宋"/>
          <w:szCs w:val="32"/>
        </w:rPr>
      </w:r>
    </w:p>
    <w:p>
      <w:pPr>
        <w:pBdr/>
        <w:spacing w:line="384" w:lineRule="auto"/>
        <w:ind w:firstLine="640"/>
        <w:rPr>
          <w:rFonts w:ascii="宋体" w:hAnsi="宋体" w:eastAsia="宋体"/>
          <w:szCs w:val="32"/>
        </w:rPr>
      </w:pPr>
      <w:r>
        <w:rPr>
          <w:rFonts w:ascii="宋体" w:hAnsi="宋体" w:eastAsia="宋体"/>
          <w:szCs w:val="32"/>
        </w:rPr>
        <w:t xml:space="preserve">附件：</w:t>
      </w:r>
      <w:r>
        <w:rPr>
          <w:rFonts w:hint="eastAsia" w:ascii="宋体" w:hAnsi="宋体" w:eastAsia="宋体"/>
          <w:szCs w:val="32"/>
        </w:rPr>
        <w:t xml:space="preserve">2021</w:t>
      </w:r>
      <w:r>
        <w:rPr>
          <w:rFonts w:ascii="宋体" w:hAnsi="宋体" w:eastAsia="宋体"/>
          <w:szCs w:val="32"/>
        </w:rPr>
        <w:t xml:space="preserve">年度</w:t>
      </w:r>
      <w:r>
        <w:rPr>
          <w:rFonts w:hint="eastAsia" w:ascii="宋体" w:hAnsi="宋体" w:eastAsia="宋体"/>
          <w:szCs w:val="32"/>
        </w:rPr>
        <w:t xml:space="preserve">随州市住房和城乡建设信息中心</w:t>
      </w:r>
      <w:r>
        <w:rPr>
          <w:rFonts w:ascii="宋体" w:hAnsi="宋体" w:eastAsia="宋体"/>
          <w:szCs w:val="32"/>
        </w:rPr>
        <w:t xml:space="preserve">部门整体部门自评表（附后）</w:t>
      </w:r>
      <w:r>
        <w:rPr>
          <w:rFonts w:ascii="宋体" w:hAnsi="宋体" w:eastAsia="宋体"/>
          <w:szCs w:val="32"/>
        </w:rPr>
      </w:r>
    </w:p>
    <w:p>
      <w:pPr>
        <w:pBdr/>
        <w:spacing w:line="384" w:lineRule="auto"/>
        <w:ind w:firstLine="643"/>
        <w:rPr>
          <w:rFonts w:ascii="宋体" w:hAnsi="宋体" w:eastAsia="宋体" w:cs="仿宋"/>
          <w:b/>
          <w:szCs w:val="32"/>
        </w:rPr>
      </w:pPr>
      <w:r>
        <w:rPr>
          <w:rFonts w:ascii="宋体" w:hAnsi="宋体" w:eastAsia="宋体" w:cs="仿宋"/>
          <w:b/>
          <w:szCs w:val="32"/>
        </w:rPr>
        <w:t xml:space="preserve">二、佐证材料</w:t>
      </w:r>
      <w:r>
        <w:rPr>
          <w:rFonts w:ascii="宋体" w:hAnsi="宋体" w:eastAsia="宋体" w:cs="仿宋"/>
          <w:b/>
          <w:szCs w:val="32"/>
        </w:rPr>
      </w:r>
    </w:p>
    <w:p>
      <w:pPr>
        <w:pBdr/>
        <w:spacing w:line="384" w:lineRule="auto"/>
        <w:ind w:firstLine="643"/>
        <w:rPr>
          <w:rFonts w:ascii="宋体" w:hAnsi="宋体" w:eastAsia="宋体" w:cs="仿宋"/>
          <w:b/>
          <w:szCs w:val="32"/>
        </w:rPr>
      </w:pPr>
      <w:r>
        <w:rPr>
          <w:rFonts w:ascii="宋体" w:hAnsi="宋体" w:eastAsia="宋体" w:cs="仿宋"/>
          <w:b/>
          <w:szCs w:val="32"/>
        </w:rPr>
        <w:t xml:space="preserve">（一）基本情况</w:t>
      </w:r>
      <w:r>
        <w:rPr>
          <w:rFonts w:ascii="宋体" w:hAnsi="宋体" w:eastAsia="宋体" w:cs="仿宋"/>
          <w:b/>
          <w:szCs w:val="32"/>
        </w:rPr>
      </w:r>
    </w:p>
    <w:p>
      <w:pPr>
        <w:pStyle w:val="686"/>
        <w:pBdr/>
        <w:spacing w:line="384" w:lineRule="auto"/>
        <w:ind/>
        <w:rPr>
          <w:rFonts w:ascii="宋体" w:hAnsi="宋体" w:eastAsia="宋体"/>
          <w:szCs w:val="32"/>
        </w:rPr>
      </w:pPr>
      <w:r>
        <w:rPr>
          <w:rFonts w:ascii="宋体" w:hAnsi="宋体" w:eastAsia="宋体" w:cs="仿宋"/>
          <w:szCs w:val="32"/>
        </w:rPr>
        <w:t xml:space="preserve">1</w:t>
      </w:r>
      <w:r>
        <w:rPr>
          <w:rFonts w:hint="eastAsia" w:ascii="宋体" w:hAnsi="宋体" w:eastAsia="宋体" w:cs="仿宋"/>
          <w:szCs w:val="32"/>
        </w:rPr>
        <w:t xml:space="preserve">、人员情况：</w:t>
      </w:r>
      <w:r>
        <w:rPr>
          <w:rFonts w:hint="eastAsia" w:ascii="宋体" w:hAnsi="宋体" w:eastAsia="宋体" w:cs="仿宋"/>
          <w:szCs w:val="32"/>
          <w:lang w:val="en-US" w:eastAsia="zh-CN"/>
        </w:rPr>
        <w:t xml:space="preserve">原市房产信息中心</w:t>
      </w:r>
      <w:r>
        <w:rPr>
          <w:rFonts w:hint="eastAsia" w:ascii="宋体" w:hAnsi="宋体" w:eastAsia="宋体" w:cs="仿宋"/>
          <w:szCs w:val="32"/>
        </w:rPr>
        <w:t xml:space="preserve">于2017年4月10日经随州市机构编制委员会（随编发〔2017〕19号）批准成立，2019年10月组建，11月1日取得事业单位法人登记证书，为正科级公益一类事业单位</w:t>
      </w:r>
      <w:r>
        <w:rPr>
          <w:rFonts w:hint="eastAsia" w:ascii="宋体" w:hAnsi="宋体" w:eastAsia="宋体" w:cs="仿宋"/>
          <w:szCs w:val="32"/>
          <w:lang w:eastAsia="zh-CN"/>
        </w:rPr>
        <w:t xml:space="preserve">。</w:t>
      </w:r>
      <w:r>
        <w:rPr>
          <w:rFonts w:hint="eastAsia" w:ascii="宋体" w:hAnsi="宋体" w:eastAsia="宋体" w:cs="仿宋"/>
          <w:szCs w:val="32"/>
          <w:lang w:val="en-US" w:eastAsia="zh-CN"/>
        </w:rPr>
        <w:t xml:space="preserve">2021年原市房产信息中心、市住建委财会核算中心、市建设信息中心三个单位的机构整合、人员合并，组建了市住房和城乡建设信息中心（市住房维修资金中心），于2021年8月25日正式挂牌成立。</w:t>
      </w:r>
      <w:r>
        <w:rPr>
          <w:rFonts w:hint="eastAsia" w:ascii="宋体" w:hAnsi="宋体" w:eastAsia="宋体" w:cs="仿宋"/>
          <w:szCs w:val="32"/>
        </w:rPr>
        <w:t xml:space="preserve">核定人员编制</w:t>
      </w:r>
      <w:r>
        <w:rPr>
          <w:rFonts w:hint="eastAsia" w:ascii="宋体" w:hAnsi="宋体" w:eastAsia="宋体" w:cs="仿宋"/>
          <w:szCs w:val="32"/>
          <w:lang w:val="en-US" w:eastAsia="zh-CN"/>
        </w:rPr>
        <w:t xml:space="preserve">8</w:t>
      </w:r>
      <w:r>
        <w:rPr>
          <w:rFonts w:hint="eastAsia" w:ascii="宋体" w:hAnsi="宋体" w:eastAsia="宋体" w:cs="仿宋"/>
          <w:szCs w:val="32"/>
        </w:rPr>
        <w:t xml:space="preserve">人，非参公事业人员</w:t>
      </w:r>
      <w:r>
        <w:rPr>
          <w:rFonts w:hint="eastAsia" w:ascii="宋体" w:hAnsi="宋体" w:eastAsia="宋体" w:cs="仿宋"/>
          <w:szCs w:val="32"/>
          <w:lang w:val="en-US" w:eastAsia="zh-CN"/>
        </w:rPr>
        <w:t xml:space="preserve">8人。</w:t>
      </w:r>
      <w:r>
        <w:rPr>
          <w:rFonts w:ascii="宋体" w:hAnsi="宋体" w:eastAsia="宋体"/>
          <w:szCs w:val="32"/>
        </w:rPr>
      </w:r>
    </w:p>
    <w:p>
      <w:pPr>
        <w:pBdr/>
        <w:spacing w:line="384" w:lineRule="auto"/>
        <w:ind w:firstLine="643"/>
        <w:rPr>
          <w:rFonts w:ascii="宋体" w:hAnsi="宋体" w:eastAsia="宋体" w:cs="宋体"/>
          <w:b/>
          <w:bCs/>
          <w:szCs w:val="32"/>
        </w:rPr>
      </w:pPr>
      <w:r>
        <w:rPr>
          <w:rFonts w:hint="eastAsia" w:ascii="宋体" w:hAnsi="宋体" w:eastAsia="宋体" w:cs="宋体"/>
          <w:b/>
          <w:bCs/>
          <w:szCs w:val="32"/>
        </w:rPr>
        <w:t xml:space="preserve">2、职能职责情况</w:t>
      </w:r>
      <w:r>
        <w:rPr>
          <w:rFonts w:ascii="宋体" w:hAnsi="宋体" w:eastAsia="宋体" w:cs="宋体"/>
          <w:b/>
          <w:bCs/>
          <w:szCs w:val="32"/>
        </w:rPr>
      </w:r>
    </w:p>
    <w:p>
      <w:pPr>
        <w:pBdr/>
        <w:spacing w:line="384" w:lineRule="auto"/>
        <w:ind w:firstLine="640"/>
        <w:rPr>
          <w:rFonts w:ascii="宋体" w:hAnsi="宋体" w:eastAsia="宋体" w:cs="仿宋"/>
          <w:szCs w:val="32"/>
        </w:rPr>
      </w:pPr>
      <w:r>
        <w:rPr>
          <w:rFonts w:hint="eastAsia" w:ascii="宋体" w:hAnsi="宋体" w:eastAsia="宋体" w:cs="仿宋"/>
          <w:szCs w:val="32"/>
        </w:rPr>
        <w:t xml:space="preserve">（1）负责拟定市住建系统信息化建设规划和建设方案，审查市住建系统信息化各子系统建设需求方案,并组织实施；</w:t>
      </w:r>
      <w:r>
        <w:rPr>
          <w:rFonts w:ascii="宋体" w:hAnsi="宋体" w:eastAsia="宋体" w:cs="仿宋"/>
          <w:szCs w:val="32"/>
        </w:rPr>
      </w:r>
    </w:p>
    <w:p>
      <w:pPr>
        <w:pBdr/>
        <w:spacing w:line="384" w:lineRule="auto"/>
        <w:ind w:firstLine="640"/>
        <w:rPr>
          <w:rFonts w:ascii="宋体" w:hAnsi="宋体" w:eastAsia="宋体" w:cs="仿宋"/>
          <w:szCs w:val="32"/>
        </w:rPr>
      </w:pPr>
      <w:r>
        <w:rPr>
          <w:rFonts w:hint="eastAsia" w:ascii="宋体" w:hAnsi="宋体" w:eastAsia="宋体" w:cs="仿宋"/>
          <w:szCs w:val="32"/>
        </w:rPr>
        <w:t xml:space="preserve">（2）贯彻国家、省、市住房建设信息化建设标准，组织协调市住建系统信息共享平台与数据库建设，以及日常管理和维护工作，严格执行数据安全、保密制度；</w:t>
      </w:r>
      <w:r>
        <w:rPr>
          <w:rFonts w:ascii="宋体" w:hAnsi="宋体" w:eastAsia="宋体" w:cs="仿宋"/>
          <w:szCs w:val="32"/>
        </w:rPr>
      </w:r>
    </w:p>
    <w:p>
      <w:pPr>
        <w:pBdr/>
        <w:spacing w:line="384" w:lineRule="auto"/>
        <w:ind w:firstLine="640"/>
        <w:rPr>
          <w:rFonts w:ascii="宋体" w:hAnsi="宋体" w:eastAsia="宋体" w:cs="仿宋"/>
          <w:szCs w:val="32"/>
        </w:rPr>
      </w:pPr>
      <w:r>
        <w:rPr>
          <w:rFonts w:hint="eastAsia" w:ascii="宋体" w:hAnsi="宋体" w:eastAsia="宋体" w:cs="仿宋"/>
          <w:szCs w:val="32"/>
        </w:rPr>
        <w:t xml:space="preserve">（3）开展住建行业信息技术研究、交流、普及推广及相关技术支持服务工作；</w:t>
      </w:r>
      <w:r>
        <w:rPr>
          <w:rFonts w:ascii="宋体" w:hAnsi="宋体" w:eastAsia="宋体" w:cs="仿宋"/>
          <w:szCs w:val="32"/>
        </w:rPr>
      </w:r>
    </w:p>
    <w:p>
      <w:pPr>
        <w:pBdr/>
        <w:spacing w:line="384" w:lineRule="auto"/>
        <w:ind w:firstLine="640"/>
        <w:rPr>
          <w:rFonts w:ascii="宋体" w:hAnsi="宋体" w:eastAsia="宋体" w:cs="仿宋"/>
          <w:szCs w:val="32"/>
        </w:rPr>
      </w:pPr>
      <w:r>
        <w:rPr>
          <w:rFonts w:hint="eastAsia" w:ascii="宋体" w:hAnsi="宋体" w:eastAsia="宋体" w:cs="仿宋"/>
          <w:szCs w:val="32"/>
        </w:rPr>
        <w:t xml:space="preserve">（4）负责领导干部个人有关事项报告房产信息查核工作，及时准确上报房产查核数据；</w:t>
      </w:r>
      <w:r>
        <w:rPr>
          <w:rFonts w:ascii="宋体" w:hAnsi="宋体" w:eastAsia="宋体" w:cs="仿宋"/>
          <w:szCs w:val="32"/>
        </w:rPr>
      </w:r>
    </w:p>
    <w:p>
      <w:pPr>
        <w:pBdr/>
        <w:spacing w:line="384" w:lineRule="auto"/>
        <w:ind w:firstLine="640"/>
        <w:rPr>
          <w:rFonts w:ascii="宋体" w:hAnsi="宋体" w:eastAsia="宋体" w:cs="宋体"/>
          <w:b/>
          <w:bCs/>
          <w:szCs w:val="32"/>
        </w:rPr>
      </w:pPr>
      <w:r>
        <w:rPr>
          <w:rFonts w:hint="eastAsia" w:ascii="宋体" w:hAnsi="宋体" w:eastAsia="宋体" w:cs="仿宋"/>
          <w:szCs w:val="32"/>
        </w:rPr>
        <w:t xml:space="preserve">（5）完成局领导交办的其他工作。</w:t>
      </w:r>
      <w:r>
        <w:rPr>
          <w:rFonts w:ascii="宋体" w:hAnsi="宋体" w:eastAsia="宋体" w:cs="宋体"/>
          <w:b/>
          <w:bCs/>
          <w:szCs w:val="32"/>
        </w:rPr>
      </w:r>
    </w:p>
    <w:p>
      <w:pPr>
        <w:pBdr/>
        <w:spacing w:line="384" w:lineRule="auto"/>
        <w:ind w:firstLine="640"/>
        <w:rPr>
          <w:rFonts w:ascii="宋体" w:hAnsi="宋体" w:eastAsia="宋体" w:cs="宋体"/>
          <w:bCs/>
          <w:szCs w:val="32"/>
        </w:rPr>
      </w:pPr>
      <w:r>
        <w:rPr>
          <w:rFonts w:hint="eastAsia" w:ascii="宋体" w:hAnsi="宋体" w:eastAsia="宋体" w:cs="宋体"/>
          <w:bCs/>
          <w:szCs w:val="32"/>
        </w:rPr>
        <w:t xml:space="preserve">3、部门支出基本情况</w:t>
      </w:r>
      <w:r>
        <w:rPr>
          <w:rFonts w:ascii="宋体" w:hAnsi="宋体" w:eastAsia="宋体" w:cs="宋体"/>
          <w:bCs/>
          <w:szCs w:val="32"/>
        </w:rPr>
      </w:r>
    </w:p>
    <w:p>
      <w:pPr>
        <w:pBdr/>
        <w:spacing w:line="384" w:lineRule="auto"/>
        <w:ind w:firstLine="640"/>
        <w:rPr>
          <w:rFonts w:ascii="宋体" w:hAnsi="宋体" w:eastAsia="宋体" w:cs="宋体"/>
          <w:bCs/>
          <w:szCs w:val="32"/>
        </w:rPr>
      </w:pPr>
      <w:r>
        <w:rPr>
          <w:rFonts w:hint="eastAsia" w:ascii="宋体" w:hAnsi="宋体" w:eastAsia="宋体" w:cs="宋体"/>
          <w:bCs/>
          <w:szCs w:val="32"/>
        </w:rPr>
        <w:t xml:space="preserve">2021年部门整体支出总额</w:t>
      </w:r>
      <w:r>
        <w:rPr>
          <w:rFonts w:hint="eastAsia" w:ascii="宋体" w:hAnsi="宋体" w:eastAsia="宋体" w:cs="宋体"/>
          <w:bCs/>
          <w:szCs w:val="32"/>
          <w:lang w:val="en-US" w:eastAsia="zh-CN"/>
        </w:rPr>
        <w:t xml:space="preserve">97.97</w:t>
      </w:r>
      <w:r>
        <w:rPr>
          <w:rFonts w:hint="eastAsia" w:ascii="宋体" w:hAnsi="宋体" w:eastAsia="宋体" w:cs="宋体"/>
          <w:bCs/>
          <w:szCs w:val="32"/>
        </w:rPr>
        <w:t xml:space="preserve">万元，按支出性质分：基本支出</w:t>
      </w:r>
      <w:r>
        <w:rPr>
          <w:rFonts w:hint="eastAsia" w:ascii="宋体" w:hAnsi="宋体" w:eastAsia="宋体" w:cs="宋体"/>
          <w:bCs/>
          <w:szCs w:val="32"/>
          <w:lang w:val="en-US" w:eastAsia="zh-CN"/>
        </w:rPr>
        <w:t xml:space="preserve">76.75</w:t>
      </w:r>
      <w:r>
        <w:rPr>
          <w:rFonts w:hint="eastAsia" w:ascii="宋体" w:hAnsi="宋体" w:eastAsia="宋体" w:cs="宋体"/>
          <w:bCs/>
          <w:szCs w:val="32"/>
        </w:rPr>
        <w:t xml:space="preserve">万元（其中人员支出</w:t>
      </w:r>
      <w:r>
        <w:rPr>
          <w:rFonts w:hint="eastAsia" w:ascii="宋体" w:hAnsi="宋体" w:eastAsia="宋体" w:cs="宋体"/>
          <w:bCs/>
          <w:szCs w:val="32"/>
          <w:lang w:val="en-US" w:eastAsia="zh-CN"/>
        </w:rPr>
        <w:t xml:space="preserve">70.02</w:t>
      </w:r>
      <w:r>
        <w:rPr>
          <w:rFonts w:hint="eastAsia" w:ascii="宋体" w:hAnsi="宋体" w:eastAsia="宋体" w:cs="宋体"/>
          <w:bCs/>
          <w:szCs w:val="32"/>
        </w:rPr>
        <w:t xml:space="preserve">万元，日常公用支出</w:t>
      </w:r>
      <w:r>
        <w:rPr>
          <w:rFonts w:hint="eastAsia" w:ascii="宋体" w:hAnsi="宋体" w:eastAsia="宋体" w:cs="宋体"/>
          <w:bCs/>
          <w:szCs w:val="32"/>
          <w:lang w:val="en-US" w:eastAsia="zh-CN"/>
        </w:rPr>
        <w:t xml:space="preserve">6.73</w:t>
      </w:r>
      <w:r>
        <w:rPr>
          <w:rFonts w:hint="eastAsia" w:ascii="宋体" w:hAnsi="宋体" w:eastAsia="宋体" w:cs="宋体"/>
          <w:bCs/>
          <w:szCs w:val="32"/>
        </w:rPr>
        <w:t xml:space="preserve">万元），项目支出</w:t>
      </w:r>
      <w:r>
        <w:rPr>
          <w:rFonts w:hint="eastAsia" w:ascii="宋体" w:hAnsi="宋体" w:eastAsia="宋体" w:cs="宋体"/>
          <w:bCs/>
          <w:szCs w:val="32"/>
          <w:lang w:val="en-US" w:eastAsia="zh-CN"/>
        </w:rPr>
        <w:t xml:space="preserve">21.22</w:t>
      </w:r>
      <w:r>
        <w:rPr>
          <w:rFonts w:hint="eastAsia" w:ascii="宋体" w:hAnsi="宋体" w:eastAsia="宋体" w:cs="宋体"/>
          <w:bCs/>
          <w:szCs w:val="32"/>
        </w:rPr>
        <w:t xml:space="preserve">万元。按经济分类分：工资福利支出</w:t>
      </w:r>
      <w:r>
        <w:rPr>
          <w:rFonts w:hint="eastAsia" w:ascii="宋体" w:hAnsi="宋体" w:eastAsia="宋体" w:cs="宋体"/>
          <w:bCs/>
          <w:szCs w:val="32"/>
          <w:lang w:val="en-US" w:eastAsia="zh-CN"/>
        </w:rPr>
        <w:t xml:space="preserve">70.02</w:t>
      </w:r>
      <w:r>
        <w:rPr>
          <w:rFonts w:hint="eastAsia" w:ascii="宋体" w:hAnsi="宋体" w:eastAsia="宋体" w:cs="宋体"/>
          <w:bCs/>
          <w:szCs w:val="32"/>
        </w:rPr>
        <w:t xml:space="preserve">万元；商品和服务支出</w:t>
      </w:r>
      <w:r>
        <w:rPr>
          <w:rFonts w:hint="eastAsia" w:ascii="宋体" w:hAnsi="宋体" w:eastAsia="宋体" w:cs="宋体"/>
          <w:bCs/>
          <w:szCs w:val="32"/>
          <w:lang w:val="en-US" w:eastAsia="zh-CN"/>
        </w:rPr>
        <w:t xml:space="preserve">6.73</w:t>
      </w:r>
      <w:r>
        <w:rPr>
          <w:rFonts w:hint="eastAsia" w:ascii="宋体" w:hAnsi="宋体" w:eastAsia="宋体" w:cs="宋体"/>
          <w:bCs/>
          <w:szCs w:val="32"/>
        </w:rPr>
        <w:t xml:space="preserve">万元; 资本性支出</w:t>
      </w:r>
      <w:r>
        <w:rPr>
          <w:rFonts w:hint="eastAsia" w:ascii="宋体" w:hAnsi="宋体" w:eastAsia="宋体" w:cs="宋体"/>
          <w:bCs/>
          <w:szCs w:val="32"/>
          <w:lang w:val="en-US" w:eastAsia="zh-CN"/>
        </w:rPr>
        <w:t xml:space="preserve">21.22</w:t>
      </w:r>
      <w:r>
        <w:rPr>
          <w:rFonts w:hint="eastAsia" w:ascii="宋体" w:hAnsi="宋体" w:eastAsia="宋体" w:cs="宋体"/>
          <w:bCs/>
          <w:szCs w:val="32"/>
        </w:rPr>
        <w:t xml:space="preserve">万元。</w:t>
      </w:r>
      <w:r>
        <w:rPr>
          <w:rFonts w:ascii="宋体" w:hAnsi="宋体" w:eastAsia="宋体" w:cs="宋体"/>
          <w:bCs/>
          <w:szCs w:val="32"/>
        </w:rPr>
      </w:r>
    </w:p>
    <w:p>
      <w:pPr>
        <w:pBdr/>
        <w:spacing w:line="384" w:lineRule="auto"/>
        <w:ind w:firstLine="640"/>
        <w:rPr>
          <w:rFonts w:ascii="宋体" w:hAnsi="宋体" w:eastAsia="宋体" w:cs="宋体"/>
          <w:bCs/>
          <w:szCs w:val="32"/>
        </w:rPr>
      </w:pPr>
      <w:r>
        <w:rPr>
          <w:rFonts w:hint="eastAsia" w:ascii="宋体" w:hAnsi="宋体" w:eastAsia="宋体" w:cs="宋体"/>
          <w:bCs/>
          <w:szCs w:val="32"/>
        </w:rPr>
        <w:t xml:space="preserve">2021年度完成了政府交办的各项任务。</w:t>
      </w:r>
      <w:r>
        <w:rPr>
          <w:rFonts w:ascii="宋体" w:hAnsi="宋体" w:eastAsia="宋体" w:cs="宋体"/>
          <w:bCs/>
          <w:szCs w:val="32"/>
        </w:rPr>
      </w:r>
    </w:p>
    <w:p>
      <w:pPr>
        <w:pBdr/>
        <w:spacing w:line="384" w:lineRule="auto"/>
        <w:ind w:firstLine="643"/>
        <w:rPr>
          <w:rFonts w:ascii="宋体" w:hAnsi="宋体" w:eastAsia="宋体" w:cs="宋体"/>
          <w:b/>
          <w:bCs/>
          <w:szCs w:val="32"/>
        </w:rPr>
      </w:pPr>
      <w:r>
        <w:rPr>
          <w:rFonts w:hint="eastAsia" w:ascii="宋体" w:hAnsi="宋体" w:eastAsia="宋体" w:cs="宋体"/>
          <w:b/>
          <w:bCs/>
          <w:szCs w:val="32"/>
        </w:rPr>
        <w:t xml:space="preserve">3、2021</w:t>
      </w:r>
      <w:r>
        <w:rPr>
          <w:rFonts w:ascii="宋体" w:hAnsi="宋体" w:eastAsia="宋体" w:cs="宋体"/>
          <w:b/>
          <w:bCs/>
          <w:szCs w:val="32"/>
        </w:rPr>
        <w:t xml:space="preserve">年度部门整体绩效目标</w:t>
      </w:r>
      <w:r>
        <w:rPr>
          <w:rFonts w:hint="eastAsia" w:ascii="宋体" w:hAnsi="宋体" w:eastAsia="宋体" w:cs="宋体"/>
          <w:b/>
          <w:bCs/>
          <w:szCs w:val="32"/>
        </w:rPr>
        <w:t xml:space="preserve">情况</w:t>
      </w:r>
      <w:r>
        <w:rPr>
          <w:rFonts w:ascii="宋体" w:hAnsi="宋体" w:eastAsia="宋体" w:cs="宋体"/>
          <w:b/>
          <w:bCs/>
          <w:szCs w:val="32"/>
        </w:rPr>
      </w:r>
    </w:p>
    <w:p>
      <w:pPr>
        <w:pBdr/>
        <w:spacing w:line="384" w:lineRule="auto"/>
        <w:ind w:firstLine="640"/>
        <w:rPr>
          <w:rFonts w:ascii="宋体" w:hAnsi="宋体" w:eastAsia="宋体" w:cs="宋体"/>
          <w:bCs/>
          <w:color w:val="auto"/>
          <w:szCs w:val="32"/>
        </w:rPr>
      </w:pPr>
      <w:r>
        <w:rPr>
          <w:rFonts w:hint="eastAsia" w:ascii="宋体" w:hAnsi="宋体" w:eastAsia="宋体" w:cs="宋体"/>
          <w:bCs/>
          <w:color w:val="auto"/>
          <w:szCs w:val="32"/>
        </w:rPr>
        <w:t xml:space="preserve">（1）</w:t>
      </w:r>
      <w:r>
        <w:rPr>
          <w:rFonts w:hint="eastAsia" w:ascii="宋体" w:hAnsi="宋体" w:eastAsia="宋体" w:cs="宋体"/>
          <w:bCs/>
          <w:color w:val="auto"/>
          <w:szCs w:val="32"/>
          <w:lang w:val="en-US" w:eastAsia="zh-CN"/>
        </w:rPr>
        <w:t xml:space="preserve">加快存量维修资金清理</w:t>
      </w:r>
      <w:r>
        <w:rPr>
          <w:rFonts w:hint="eastAsia" w:ascii="宋体" w:hAnsi="宋体" w:eastAsia="宋体" w:cs="宋体"/>
          <w:bCs/>
          <w:color w:val="auto"/>
          <w:szCs w:val="32"/>
        </w:rPr>
        <w:t xml:space="preserve">；</w:t>
      </w:r>
      <w:r>
        <w:rPr>
          <w:rFonts w:ascii="宋体" w:hAnsi="宋体" w:eastAsia="宋体" w:cs="宋体"/>
          <w:bCs/>
          <w:color w:val="auto"/>
          <w:szCs w:val="32"/>
        </w:rPr>
      </w:r>
    </w:p>
    <w:p>
      <w:pPr>
        <w:pBdr/>
        <w:spacing w:line="384" w:lineRule="auto"/>
        <w:ind w:firstLine="640"/>
        <w:rPr>
          <w:rFonts w:ascii="宋体" w:hAnsi="宋体" w:eastAsia="宋体" w:cs="宋体"/>
          <w:bCs/>
          <w:color w:val="auto"/>
          <w:szCs w:val="32"/>
        </w:rPr>
      </w:pPr>
      <w:r>
        <w:rPr>
          <w:rFonts w:hint="eastAsia" w:ascii="宋体" w:hAnsi="宋体" w:eastAsia="宋体" w:cs="宋体"/>
          <w:bCs/>
          <w:color w:val="auto"/>
          <w:szCs w:val="32"/>
        </w:rPr>
        <w:t xml:space="preserve">（2）</w:t>
      </w:r>
      <w:r>
        <w:rPr>
          <w:rFonts w:hint="eastAsia" w:ascii="宋体" w:hAnsi="宋体" w:eastAsia="宋体" w:cs="宋体"/>
          <w:bCs/>
          <w:color w:val="auto"/>
          <w:szCs w:val="32"/>
          <w:lang w:val="en-US" w:eastAsia="zh-CN"/>
        </w:rPr>
        <w:t xml:space="preserve">推进住房保障信息化便民利民</w:t>
      </w:r>
      <w:r>
        <w:rPr>
          <w:rFonts w:hint="eastAsia" w:ascii="宋体" w:hAnsi="宋体" w:eastAsia="宋体" w:cs="宋体"/>
          <w:bCs/>
          <w:color w:val="auto"/>
          <w:szCs w:val="32"/>
        </w:rPr>
        <w:t xml:space="preserve">；</w:t>
      </w:r>
      <w:r>
        <w:rPr>
          <w:rFonts w:ascii="宋体" w:hAnsi="宋体" w:eastAsia="宋体" w:cs="宋体"/>
          <w:bCs/>
          <w:color w:val="auto"/>
          <w:szCs w:val="32"/>
        </w:rPr>
      </w:r>
    </w:p>
    <w:p>
      <w:pPr>
        <w:pBdr/>
        <w:spacing w:line="384" w:lineRule="auto"/>
        <w:ind w:firstLine="640"/>
        <w:rPr>
          <w:rFonts w:ascii="宋体" w:hAnsi="宋体" w:eastAsia="宋体" w:cs="宋体"/>
          <w:bCs/>
          <w:color w:val="auto"/>
          <w:szCs w:val="32"/>
        </w:rPr>
      </w:pPr>
      <w:r>
        <w:rPr>
          <w:rFonts w:hint="eastAsia" w:ascii="宋体" w:hAnsi="宋体" w:eastAsia="宋体" w:cs="宋体"/>
          <w:bCs/>
          <w:color w:val="auto"/>
          <w:szCs w:val="32"/>
        </w:rPr>
        <w:t xml:space="preserve">（3）推进网签备案数据与不动产登记数据对接；</w:t>
      </w:r>
      <w:r>
        <w:rPr>
          <w:rFonts w:ascii="宋体" w:hAnsi="宋体" w:eastAsia="宋体" w:cs="宋体"/>
          <w:bCs/>
          <w:color w:val="auto"/>
          <w:szCs w:val="32"/>
        </w:rPr>
      </w:r>
    </w:p>
    <w:p>
      <w:pPr>
        <w:pBdr/>
        <w:spacing w:line="384" w:lineRule="auto"/>
        <w:ind w:firstLine="640"/>
        <w:rPr>
          <w:rFonts w:ascii="宋体" w:hAnsi="宋体" w:eastAsia="宋体" w:cs="宋体"/>
          <w:bCs/>
          <w:color w:val="auto"/>
          <w:szCs w:val="32"/>
        </w:rPr>
      </w:pPr>
      <w:r>
        <w:rPr>
          <w:rFonts w:hint="eastAsia" w:ascii="宋体" w:hAnsi="宋体" w:eastAsia="宋体" w:cs="宋体"/>
          <w:bCs/>
          <w:color w:val="auto"/>
          <w:szCs w:val="32"/>
        </w:rPr>
        <w:t xml:space="preserve">（4）会同市房产市场所</w:t>
      </w:r>
      <w:r>
        <w:rPr>
          <w:rFonts w:hint="eastAsia" w:ascii="宋体" w:hAnsi="宋体" w:eastAsia="宋体" w:cs="宋体"/>
          <w:bCs/>
          <w:color w:val="auto"/>
          <w:szCs w:val="32"/>
          <w:lang w:eastAsia="zh-CN"/>
        </w:rPr>
        <w:t xml:space="preserve">、</w:t>
      </w:r>
      <w:r>
        <w:rPr>
          <w:rFonts w:hint="eastAsia" w:ascii="宋体" w:hAnsi="宋体" w:eastAsia="宋体" w:cs="宋体"/>
          <w:bCs/>
          <w:color w:val="auto"/>
          <w:szCs w:val="32"/>
        </w:rPr>
        <w:t xml:space="preserve">税务、不动产登记和公积金中心等部门，打通了商品房网签备案部门间的信息壁垒；</w:t>
      </w:r>
      <w:r>
        <w:rPr>
          <w:rFonts w:ascii="宋体" w:hAnsi="宋体" w:eastAsia="宋体" w:cs="宋体"/>
          <w:bCs/>
          <w:color w:val="auto"/>
          <w:szCs w:val="32"/>
        </w:rPr>
      </w:r>
    </w:p>
    <w:p>
      <w:pPr>
        <w:pBdr/>
        <w:spacing w:line="384" w:lineRule="auto"/>
        <w:ind w:firstLine="640"/>
        <w:rPr>
          <w:rFonts w:ascii="宋体" w:hAnsi="宋体" w:eastAsia="宋体" w:cs="宋体"/>
          <w:bCs/>
          <w:color w:val="auto"/>
          <w:szCs w:val="32"/>
        </w:rPr>
      </w:pPr>
      <w:r>
        <w:rPr>
          <w:rFonts w:hint="eastAsia" w:ascii="宋体" w:hAnsi="宋体" w:eastAsia="宋体" w:cs="宋体"/>
          <w:bCs/>
          <w:color w:val="auto"/>
          <w:szCs w:val="32"/>
        </w:rPr>
        <w:t xml:space="preserve">（5）落实“互联网+政务服务”要求</w:t>
      </w:r>
      <w:r>
        <w:rPr>
          <w:rFonts w:hint="eastAsia" w:ascii="宋体" w:hAnsi="宋体" w:eastAsia="宋体"/>
          <w:bCs/>
          <w:color w:val="auto"/>
          <w:szCs w:val="32"/>
        </w:rPr>
        <w:t xml:space="preserve">；</w:t>
      </w:r>
      <w:r>
        <w:rPr>
          <w:rFonts w:ascii="宋体" w:hAnsi="宋体" w:eastAsia="宋体" w:cs="宋体"/>
          <w:bCs/>
          <w:color w:val="auto"/>
          <w:szCs w:val="32"/>
        </w:rPr>
      </w:r>
    </w:p>
    <w:p>
      <w:pPr>
        <w:pBdr/>
        <w:spacing w:line="384" w:lineRule="auto"/>
        <w:ind w:firstLine="640"/>
        <w:rPr>
          <w:rFonts w:ascii="宋体" w:hAnsi="宋体" w:eastAsia="宋体"/>
          <w:bCs/>
          <w:color w:val="auto"/>
          <w:szCs w:val="32"/>
        </w:rPr>
      </w:pPr>
      <w:r>
        <w:rPr>
          <w:rFonts w:hint="eastAsia" w:ascii="宋体" w:hAnsi="宋体" w:eastAsia="宋体"/>
          <w:bCs/>
          <w:color w:val="auto"/>
          <w:szCs w:val="32"/>
        </w:rPr>
        <w:t xml:space="preserve">（6）</w:t>
      </w:r>
      <w:r>
        <w:rPr>
          <w:rFonts w:hint="eastAsia" w:ascii="宋体" w:hAnsi="宋体" w:eastAsia="宋体" w:cs="仿宋"/>
          <w:color w:val="auto"/>
          <w:szCs w:val="32"/>
        </w:rPr>
        <w:t xml:space="preserve">落实领导干部房产查核</w:t>
      </w:r>
      <w:r>
        <w:rPr>
          <w:rFonts w:hint="eastAsia" w:ascii="宋体" w:hAnsi="宋体" w:eastAsia="宋体"/>
          <w:bCs/>
          <w:color w:val="auto"/>
          <w:szCs w:val="32"/>
        </w:rPr>
        <w:t xml:space="preserve">；</w:t>
      </w:r>
      <w:r>
        <w:rPr>
          <w:rFonts w:ascii="宋体" w:hAnsi="宋体" w:eastAsia="宋体"/>
          <w:bCs/>
          <w:color w:val="auto"/>
          <w:szCs w:val="32"/>
        </w:rPr>
      </w:r>
    </w:p>
    <w:p>
      <w:pPr>
        <w:pBdr/>
        <w:spacing w:line="384" w:lineRule="auto"/>
        <w:ind w:firstLine="640"/>
        <w:rPr>
          <w:rFonts w:ascii="宋体" w:hAnsi="宋体" w:eastAsia="宋体"/>
          <w:bCs/>
          <w:color w:val="auto"/>
          <w:szCs w:val="32"/>
        </w:rPr>
      </w:pPr>
      <w:r>
        <w:rPr>
          <w:rFonts w:hint="eastAsia" w:ascii="宋体" w:hAnsi="宋体" w:eastAsia="宋体"/>
          <w:bCs/>
          <w:color w:val="auto"/>
          <w:szCs w:val="32"/>
        </w:rPr>
        <w:t xml:space="preserve">（7）</w:t>
      </w:r>
      <w:r>
        <w:rPr>
          <w:rFonts w:hint="eastAsia" w:ascii="宋体" w:hAnsi="宋体" w:eastAsia="宋体" w:cs="仿宋"/>
          <w:color w:val="auto"/>
          <w:szCs w:val="32"/>
        </w:rPr>
        <w:t xml:space="preserve">初步建成智慧排水信息系统</w:t>
      </w:r>
      <w:r>
        <w:rPr>
          <w:rFonts w:hint="eastAsia" w:ascii="宋体" w:hAnsi="宋体" w:eastAsia="宋体"/>
          <w:bCs/>
          <w:color w:val="auto"/>
          <w:szCs w:val="32"/>
        </w:rPr>
        <w:t xml:space="preserve">；</w:t>
      </w:r>
      <w:r>
        <w:rPr>
          <w:rFonts w:ascii="宋体" w:hAnsi="宋体" w:eastAsia="宋体"/>
          <w:bCs/>
          <w:color w:val="auto"/>
          <w:szCs w:val="32"/>
        </w:rPr>
      </w:r>
    </w:p>
    <w:p>
      <w:pPr>
        <w:pBdr/>
        <w:spacing w:line="384" w:lineRule="auto"/>
        <w:ind w:firstLine="640"/>
        <w:rPr>
          <w:rFonts w:hint="eastAsia" w:ascii="宋体" w:hAnsi="宋体" w:eastAsia="宋体"/>
          <w:bCs/>
          <w:color w:val="auto"/>
          <w:szCs w:val="32"/>
          <w:lang w:val="zh-CN"/>
        </w:rPr>
      </w:pPr>
      <w:r>
        <w:rPr>
          <w:rFonts w:hint="eastAsia" w:ascii="宋体" w:hAnsi="宋体" w:eastAsia="宋体"/>
          <w:bCs/>
          <w:color w:val="auto"/>
          <w:szCs w:val="32"/>
        </w:rPr>
        <w:t xml:space="preserve">（8）</w:t>
      </w:r>
      <w:r>
        <w:rPr>
          <w:rFonts w:hint="eastAsia" w:ascii="宋体" w:hAnsi="宋体" w:eastAsia="宋体"/>
          <w:bCs/>
          <w:color w:val="auto"/>
          <w:szCs w:val="32"/>
          <w:lang w:val="zh-CN"/>
        </w:rPr>
        <w:t xml:space="preserve">加强信息宣传，擦亮住建信息化“新名片”；</w:t>
      </w:r>
      <w:r>
        <w:rPr>
          <w:rFonts w:hint="eastAsia" w:ascii="宋体" w:hAnsi="宋体" w:eastAsia="宋体"/>
          <w:bCs/>
          <w:color w:val="auto"/>
          <w:szCs w:val="32"/>
          <w:lang w:val="zh-CN"/>
        </w:rPr>
      </w:r>
    </w:p>
    <w:p>
      <w:pPr>
        <w:pBdr/>
        <w:spacing w:line="384" w:lineRule="auto"/>
        <w:ind w:firstLine="640"/>
        <w:rPr>
          <w:rFonts w:hint="eastAsia" w:ascii="宋体" w:hAnsi="宋体" w:eastAsia="宋体"/>
          <w:bCs/>
          <w:color w:val="auto"/>
          <w:szCs w:val="32"/>
          <w:lang w:val="en-US" w:eastAsia="zh-CN"/>
        </w:rPr>
      </w:pPr>
      <w:r>
        <w:rPr>
          <w:rFonts w:hint="eastAsia" w:ascii="宋体" w:hAnsi="宋体" w:eastAsia="宋体"/>
          <w:bCs/>
          <w:color w:val="auto"/>
          <w:szCs w:val="32"/>
          <w:lang w:val="zh-CN"/>
        </w:rPr>
        <w:t xml:space="preserve">（</w:t>
      </w:r>
      <w:r>
        <w:rPr>
          <w:rFonts w:hint="eastAsia" w:ascii="宋体" w:hAnsi="宋体" w:eastAsia="宋体"/>
          <w:bCs/>
          <w:color w:val="auto"/>
          <w:szCs w:val="32"/>
          <w:lang w:val="en-US" w:eastAsia="zh-CN"/>
        </w:rPr>
        <w:t xml:space="preserve">9）</w:t>
      </w:r>
      <w:r>
        <w:rPr>
          <w:rFonts w:hint="eastAsia" w:ascii="宋体" w:hAnsi="宋体" w:eastAsia="宋体" w:cs="仿宋"/>
          <w:color w:val="auto"/>
          <w:szCs w:val="32"/>
        </w:rPr>
        <w:t xml:space="preserve">切实解决群众关心关注的焦点问题，立案查处</w:t>
      </w:r>
      <w:r>
        <w:rPr>
          <w:rFonts w:hint="eastAsia" w:ascii="宋体" w:hAnsi="宋体" w:eastAsia="宋体" w:cs="仿宋"/>
          <w:color w:val="auto"/>
          <w:szCs w:val="32"/>
          <w:lang w:eastAsia="zh-CN"/>
        </w:rPr>
        <w:t xml:space="preserve">违规违纪行为。</w:t>
      </w:r>
      <w:r>
        <w:rPr>
          <w:rFonts w:hint="eastAsia" w:ascii="宋体" w:hAnsi="宋体" w:eastAsia="宋体"/>
          <w:bCs/>
          <w:color w:val="auto"/>
          <w:szCs w:val="32"/>
          <w:lang w:val="en-US" w:eastAsia="zh-CN"/>
        </w:rPr>
      </w:r>
    </w:p>
    <w:p>
      <w:pPr>
        <w:pBdr/>
        <w:spacing w:line="384" w:lineRule="auto"/>
        <w:ind w:firstLine="643"/>
        <w:rPr>
          <w:rFonts w:ascii="宋体" w:hAnsi="宋体" w:eastAsia="宋体"/>
          <w:b/>
          <w:szCs w:val="32"/>
        </w:rPr>
      </w:pPr>
      <w:r>
        <w:rPr>
          <w:rFonts w:ascii="宋体" w:hAnsi="宋体" w:eastAsia="宋体"/>
          <w:b/>
          <w:szCs w:val="32"/>
        </w:rPr>
        <w:t xml:space="preserve">（二）部门自评工作开展情况</w:t>
      </w:r>
      <w:r>
        <w:rPr>
          <w:rFonts w:ascii="宋体" w:hAnsi="宋体" w:eastAsia="宋体"/>
          <w:b/>
          <w:szCs w:val="32"/>
        </w:rPr>
      </w:r>
    </w:p>
    <w:p>
      <w:pPr>
        <w:pBdr/>
        <w:tabs>
          <w:tab w:val="center" w:leader="none" w:pos="4153"/>
        </w:tabs>
        <w:spacing w:line="384" w:lineRule="auto"/>
        <w:ind w:firstLine="640"/>
        <w:rPr>
          <w:rFonts w:ascii="宋体" w:hAnsi="宋体" w:eastAsia="宋体" w:cs="仿宋"/>
          <w:szCs w:val="32"/>
        </w:rPr>
      </w:pPr>
      <w:r>
        <w:rPr>
          <w:rFonts w:hint="eastAsia" w:ascii="宋体" w:hAnsi="宋体" w:eastAsia="宋体" w:cs="楷体"/>
          <w:szCs w:val="32"/>
        </w:rPr>
        <w:t xml:space="preserve">1、充分准备前期工作。我单位</w:t>
      </w:r>
      <w:r>
        <w:rPr>
          <w:rFonts w:hint="eastAsia" w:ascii="宋体" w:hAnsi="宋体" w:eastAsia="宋体" w:cs="仿宋"/>
          <w:szCs w:val="32"/>
        </w:rPr>
        <w:t xml:space="preserve">成立了2021年度绩效评价工作领导小组。以中心主任为组长，</w:t>
      </w:r>
      <w:r>
        <w:rPr>
          <w:rFonts w:hint="eastAsia" w:ascii="宋体" w:hAnsi="宋体" w:eastAsia="宋体" w:cs="仿宋"/>
          <w:szCs w:val="32"/>
          <w:lang w:val="en-US" w:eastAsia="zh-CN"/>
        </w:rPr>
        <w:t xml:space="preserve">组</w:t>
      </w:r>
      <w:r>
        <w:rPr>
          <w:rFonts w:hint="eastAsia" w:ascii="宋体" w:hAnsi="宋体" w:eastAsia="宋体" w:cs="仿宋"/>
          <w:szCs w:val="32"/>
        </w:rPr>
        <w:t xml:space="preserve">室负责人为成员的绩效评价工作领导小组，抽调专人组建工作专班，具体负责绩效评价工作。根据绩效自评工作要求，制定了2021年度绩效评价工作方案，对绩效评价工作的时间、步骤、措施等提出了具体要求。</w:t>
      </w:r>
      <w:r>
        <w:rPr>
          <w:rFonts w:ascii="宋体" w:hAnsi="宋体" w:eastAsia="宋体" w:cs="仿宋"/>
          <w:szCs w:val="32"/>
        </w:rPr>
      </w:r>
    </w:p>
    <w:p>
      <w:pPr>
        <w:pBdr/>
        <w:tabs>
          <w:tab w:val="center" w:leader="none" w:pos="4153"/>
        </w:tabs>
        <w:spacing w:line="384" w:lineRule="auto"/>
        <w:ind w:firstLine="640"/>
        <w:rPr>
          <w:rFonts w:ascii="宋体" w:hAnsi="宋体" w:eastAsia="宋体" w:cs="楷体"/>
          <w:szCs w:val="32"/>
        </w:rPr>
      </w:pPr>
      <w:r>
        <w:rPr>
          <w:rFonts w:hint="eastAsia" w:ascii="宋体" w:hAnsi="宋体" w:eastAsia="宋体" w:cs="楷体"/>
          <w:szCs w:val="32"/>
        </w:rPr>
        <w:t xml:space="preserve">2、精心组织绩效评价。</w:t>
      </w:r>
      <w:r>
        <w:rPr>
          <w:rFonts w:hint="eastAsia" w:ascii="宋体" w:hAnsi="宋体" w:eastAsia="宋体" w:cs="仿宋"/>
          <w:szCs w:val="32"/>
        </w:rPr>
        <w:t xml:space="preserve">随州市住房和城乡建设信息中心2021年度绩效评价工作领导小组成员对绩效评价文件和相关政策依据进行了深入学习，了解绩效评份工作的重要性和必要性。由工作专班按照绩效评价工作方案的要求精心组织实施，搜集相关资料，查阅相关表格，核实相关数据，扎扎实实开展绩效自评工作。</w:t>
      </w:r>
      <w:r>
        <w:rPr>
          <w:rFonts w:ascii="宋体" w:hAnsi="宋体" w:eastAsia="宋体" w:cs="楷体"/>
          <w:szCs w:val="32"/>
        </w:rPr>
      </w:r>
    </w:p>
    <w:p>
      <w:pPr>
        <w:pBdr/>
        <w:tabs>
          <w:tab w:val="center" w:leader="none" w:pos="4153"/>
        </w:tabs>
        <w:spacing w:line="384" w:lineRule="auto"/>
        <w:ind w:firstLine="640"/>
        <w:rPr>
          <w:rFonts w:ascii="宋体" w:hAnsi="宋体" w:eastAsia="宋体" w:cs="仿宋"/>
          <w:szCs w:val="32"/>
        </w:rPr>
      </w:pPr>
      <w:r>
        <w:rPr>
          <w:rFonts w:hint="eastAsia" w:ascii="宋体" w:hAnsi="宋体" w:eastAsia="宋体" w:cs="楷体"/>
          <w:szCs w:val="32"/>
        </w:rPr>
        <w:t xml:space="preserve">3、综合分析自评报告。</w:t>
      </w:r>
      <w:r>
        <w:rPr>
          <w:rFonts w:hint="eastAsia" w:ascii="宋体" w:hAnsi="宋体" w:eastAsia="宋体" w:cs="仿宋"/>
          <w:szCs w:val="32"/>
        </w:rPr>
        <w:t xml:space="preserve">绩效评价工作专班将采集的自评相关基础数据和资料进行整理汇总，并以预算申报的绩效目标为基础，根据公正公开、分组分类的原则，结合决算数据，对本年度实际的产出指标和效益指标进行分析，比较预算绩效目标完成情况，详细分析原因，提出建议，形成自评报告。</w:t>
      </w:r>
      <w:r>
        <w:rPr>
          <w:rFonts w:ascii="宋体" w:hAnsi="宋体" w:eastAsia="宋体" w:cs="仿宋"/>
          <w:szCs w:val="32"/>
        </w:rPr>
      </w:r>
    </w:p>
    <w:p>
      <w:pPr>
        <w:pBdr/>
        <w:spacing w:line="384" w:lineRule="auto"/>
        <w:ind w:firstLine="643"/>
        <w:rPr>
          <w:rFonts w:ascii="宋体" w:hAnsi="宋体" w:eastAsia="宋体"/>
          <w:b/>
          <w:szCs w:val="32"/>
        </w:rPr>
      </w:pPr>
      <w:r>
        <w:rPr>
          <w:rFonts w:ascii="宋体" w:hAnsi="宋体" w:eastAsia="宋体"/>
          <w:b/>
          <w:szCs w:val="32"/>
        </w:rPr>
        <w:t xml:space="preserve">（三）绩效目标完成情况分析</w:t>
      </w:r>
      <w:r>
        <w:rPr>
          <w:rFonts w:ascii="宋体" w:hAnsi="宋体" w:eastAsia="宋体"/>
          <w:b/>
          <w:szCs w:val="32"/>
        </w:rPr>
      </w:r>
    </w:p>
    <w:p>
      <w:pPr>
        <w:pBdr/>
        <w:spacing w:line="384" w:lineRule="auto"/>
        <w:ind w:firstLine="640"/>
        <w:rPr>
          <w:rFonts w:ascii="宋体" w:hAnsi="宋体" w:eastAsia="宋体"/>
          <w:szCs w:val="32"/>
        </w:rPr>
      </w:pPr>
      <w:r>
        <w:rPr>
          <w:rFonts w:hint="eastAsia" w:ascii="宋体" w:hAnsi="宋体" w:eastAsia="宋体"/>
          <w:szCs w:val="32"/>
        </w:rPr>
        <w:t xml:space="preserve">1、预算执行情况分析</w:t>
      </w:r>
      <w:r>
        <w:rPr>
          <w:rFonts w:ascii="宋体" w:hAnsi="宋体" w:eastAsia="宋体"/>
          <w:szCs w:val="32"/>
        </w:rPr>
      </w:r>
    </w:p>
    <w:p>
      <w:pPr>
        <w:pBdr/>
        <w:spacing w:line="384" w:lineRule="auto"/>
        <w:ind w:firstLine="640"/>
        <w:outlineLvl w:val="0"/>
        <w:rPr>
          <w:rFonts w:ascii="宋体" w:hAnsi="宋体" w:eastAsia="宋体" w:cs="楷体_GB2312"/>
          <w:szCs w:val="32"/>
        </w:rPr>
      </w:pPr>
      <w:r>
        <w:rPr>
          <w:rFonts w:hint="eastAsia" w:ascii="宋体" w:hAnsi="宋体" w:eastAsia="宋体" w:cs="楷体_GB2312"/>
          <w:szCs w:val="32"/>
        </w:rPr>
        <w:t xml:space="preserve">（1）资金投入情况分析</w:t>
      </w:r>
      <w:r>
        <w:rPr>
          <w:rFonts w:ascii="宋体" w:hAnsi="宋体" w:eastAsia="宋体" w:cs="楷体_GB2312"/>
          <w:szCs w:val="32"/>
        </w:rPr>
      </w:r>
    </w:p>
    <w:p>
      <w:pPr>
        <w:pBdr/>
        <w:spacing w:line="384" w:lineRule="auto"/>
        <w:ind w:firstLine="640"/>
        <w:rPr>
          <w:rFonts w:ascii="宋体" w:hAnsi="宋体" w:eastAsia="宋体" w:cs="仿宋_GB2312"/>
          <w:szCs w:val="32"/>
        </w:rPr>
      </w:pPr>
      <w:r>
        <w:rPr>
          <w:rFonts w:hint="eastAsia" w:ascii="宋体" w:hAnsi="宋体" w:eastAsia="宋体" w:cs="仿宋_GB2312"/>
          <w:szCs w:val="32"/>
        </w:rPr>
        <w:t xml:space="preserve">《市财政局关于批复2021年市直部门预算的通知》批复了本项目资金的来源。2021年上年结转</w:t>
      </w:r>
      <w:r>
        <w:rPr>
          <w:rFonts w:hint="eastAsia" w:ascii="宋体" w:hAnsi="宋体" w:eastAsia="宋体" w:cs="仿宋_GB2312"/>
          <w:szCs w:val="32"/>
          <w:lang w:val="en-US" w:eastAsia="zh-CN"/>
        </w:rPr>
        <w:t xml:space="preserve">20</w:t>
      </w:r>
      <w:r>
        <w:rPr>
          <w:rFonts w:hint="eastAsia" w:ascii="宋体" w:hAnsi="宋体" w:eastAsia="宋体" w:cs="仿宋_GB2312"/>
          <w:szCs w:val="32"/>
        </w:rPr>
        <w:t xml:space="preserve">.</w:t>
      </w:r>
      <w:r>
        <w:rPr>
          <w:rFonts w:hint="eastAsia" w:ascii="宋体" w:hAnsi="宋体" w:eastAsia="宋体" w:cs="仿宋_GB2312"/>
          <w:szCs w:val="32"/>
          <w:lang w:val="en-US" w:eastAsia="zh-CN"/>
        </w:rPr>
        <w:t xml:space="preserve">78</w:t>
      </w:r>
      <w:r>
        <w:rPr>
          <w:rFonts w:hint="eastAsia" w:ascii="宋体" w:hAnsi="宋体" w:eastAsia="宋体" w:cs="仿宋_GB2312"/>
          <w:szCs w:val="32"/>
        </w:rPr>
        <w:t xml:space="preserve">万元，预算拔款</w:t>
      </w:r>
      <w:r>
        <w:rPr>
          <w:rFonts w:hint="eastAsia" w:ascii="宋体" w:hAnsi="宋体" w:eastAsia="宋体" w:cs="仿宋_GB2312"/>
          <w:szCs w:val="32"/>
          <w:lang w:val="en-US" w:eastAsia="zh-CN"/>
        </w:rPr>
        <w:t xml:space="preserve">162.77</w:t>
      </w:r>
      <w:r>
        <w:rPr>
          <w:rFonts w:hint="eastAsia" w:ascii="宋体" w:hAnsi="宋体" w:eastAsia="宋体" w:cs="仿宋_GB2312"/>
          <w:szCs w:val="32"/>
        </w:rPr>
        <w:t xml:space="preserve">万元，其中：实际财政拨款收入</w:t>
      </w:r>
      <w:r>
        <w:rPr>
          <w:rFonts w:hint="eastAsia" w:ascii="宋体" w:hAnsi="宋体" w:eastAsia="宋体" w:cs="仿宋_GB2312"/>
          <w:szCs w:val="32"/>
          <w:lang w:val="en-US" w:eastAsia="zh-CN"/>
        </w:rPr>
        <w:t xml:space="preserve">80.77</w:t>
      </w:r>
      <w:r>
        <w:rPr>
          <w:rFonts w:hint="eastAsia" w:ascii="宋体" w:hAnsi="宋体" w:eastAsia="宋体" w:cs="仿宋_GB2312"/>
          <w:szCs w:val="32"/>
        </w:rPr>
        <w:t xml:space="preserve">万元，其他收入</w:t>
      </w:r>
      <w:r>
        <w:rPr>
          <w:rFonts w:hint="eastAsia" w:ascii="宋体" w:hAnsi="宋体" w:eastAsia="宋体" w:cs="仿宋_GB2312"/>
          <w:szCs w:val="32"/>
          <w:lang w:val="en-US" w:eastAsia="zh-CN"/>
        </w:rPr>
        <w:t xml:space="preserve">82.00</w:t>
      </w:r>
      <w:r>
        <w:rPr>
          <w:rFonts w:hint="eastAsia" w:ascii="宋体" w:hAnsi="宋体" w:eastAsia="宋体" w:cs="仿宋_GB2312"/>
          <w:szCs w:val="32"/>
        </w:rPr>
        <w:t xml:space="preserve">万元</w:t>
      </w:r>
      <w:r>
        <w:rPr>
          <w:rFonts w:hint="eastAsia" w:ascii="宋体" w:hAnsi="宋体" w:eastAsia="宋体" w:cs="仿宋_GB2312"/>
          <w:szCs w:val="32"/>
          <w:lang w:eastAsia="zh-CN"/>
        </w:rPr>
        <w:t xml:space="preserve">；</w:t>
      </w:r>
      <w:r>
        <w:rPr>
          <w:rFonts w:hint="eastAsia" w:ascii="宋体" w:hAnsi="宋体" w:eastAsia="宋体" w:cs="仿宋_GB2312"/>
          <w:szCs w:val="32"/>
        </w:rPr>
        <w:t xml:space="preserve">调整后的预算为</w:t>
      </w:r>
      <w:r>
        <w:rPr>
          <w:rFonts w:hint="eastAsia" w:ascii="宋体" w:hAnsi="宋体" w:eastAsia="宋体" w:cs="仿宋_GB2312"/>
          <w:szCs w:val="32"/>
          <w:lang w:val="en-US" w:eastAsia="zh-CN"/>
        </w:rPr>
        <w:t xml:space="preserve">183.55</w:t>
      </w:r>
      <w:r>
        <w:rPr>
          <w:rFonts w:hint="eastAsia" w:ascii="宋体" w:hAnsi="宋体" w:eastAsia="宋体" w:cs="仿宋_GB2312"/>
          <w:szCs w:val="32"/>
        </w:rPr>
        <w:t xml:space="preserve">万元。</w:t>
      </w:r>
      <w:r>
        <w:rPr>
          <w:rFonts w:ascii="宋体" w:hAnsi="宋体" w:eastAsia="宋体" w:cs="仿宋_GB2312"/>
          <w:szCs w:val="32"/>
        </w:rPr>
      </w:r>
    </w:p>
    <w:p>
      <w:pPr>
        <w:pBdr/>
        <w:spacing w:line="384" w:lineRule="auto"/>
        <w:ind w:firstLine="640"/>
        <w:rPr>
          <w:rFonts w:ascii="宋体" w:hAnsi="宋体" w:eastAsia="宋体" w:cs="仿宋_GB2312"/>
          <w:szCs w:val="32"/>
        </w:rPr>
      </w:pPr>
      <w:r>
        <w:rPr>
          <w:rFonts w:hint="eastAsia" w:ascii="宋体" w:hAnsi="宋体" w:eastAsia="宋体" w:cs="仿宋_GB2312"/>
          <w:szCs w:val="32"/>
        </w:rPr>
        <w:t xml:space="preserve">资金收入预算执行率为100%。</w:t>
      </w:r>
      <w:r>
        <w:rPr>
          <w:rFonts w:ascii="宋体" w:hAnsi="宋体" w:eastAsia="宋体" w:cs="仿宋_GB2312"/>
          <w:szCs w:val="32"/>
        </w:rPr>
      </w:r>
    </w:p>
    <w:p>
      <w:pPr>
        <w:pBdr/>
        <w:spacing w:line="384" w:lineRule="auto"/>
        <w:ind w:firstLine="640"/>
        <w:rPr>
          <w:rFonts w:ascii="宋体" w:hAnsi="宋体" w:eastAsia="宋体" w:cs="仿宋_GB2312"/>
          <w:bCs/>
          <w:szCs w:val="32"/>
        </w:rPr>
      </w:pPr>
      <w:r>
        <w:rPr>
          <w:rFonts w:hint="eastAsia" w:ascii="宋体" w:hAnsi="宋体" w:eastAsia="宋体" w:cs="仿宋_GB2312"/>
          <w:bCs/>
          <w:szCs w:val="32"/>
        </w:rPr>
        <w:t xml:space="preserve">（2）资金执行情况分析。</w:t>
      </w:r>
      <w:r>
        <w:rPr>
          <w:rFonts w:ascii="宋体" w:hAnsi="宋体" w:eastAsia="宋体" w:cs="仿宋_GB2312"/>
          <w:bCs/>
          <w:szCs w:val="32"/>
        </w:rPr>
      </w:r>
    </w:p>
    <w:p>
      <w:pPr>
        <w:pBdr/>
        <w:spacing w:line="384" w:lineRule="auto"/>
        <w:ind w:firstLine="640"/>
        <w:rPr>
          <w:rFonts w:ascii="宋体" w:hAnsi="宋体" w:eastAsia="宋体" w:cs="仿宋_GB2312"/>
          <w:b/>
          <w:bCs/>
          <w:szCs w:val="32"/>
        </w:rPr>
      </w:pPr>
      <w:r>
        <w:rPr>
          <w:rFonts w:hint="eastAsia" w:ascii="宋体" w:hAnsi="宋体" w:eastAsia="宋体"/>
          <w:szCs w:val="32"/>
        </w:rPr>
        <w:t xml:space="preserve">2021年部门整体调整后的预算支出总额</w:t>
      </w:r>
      <w:r>
        <w:rPr>
          <w:rFonts w:hint="eastAsia" w:ascii="宋体" w:hAnsi="宋体" w:eastAsia="宋体" w:cs="仿宋_GB2312"/>
          <w:szCs w:val="32"/>
          <w:lang w:val="en-US" w:eastAsia="zh-CN"/>
        </w:rPr>
        <w:t xml:space="preserve">183.55</w:t>
      </w:r>
      <w:r>
        <w:rPr>
          <w:rFonts w:hint="eastAsia" w:ascii="宋体" w:hAnsi="宋体" w:eastAsia="宋体"/>
          <w:szCs w:val="32"/>
        </w:rPr>
        <w:t xml:space="preserve">万元，实际支出总额</w:t>
      </w:r>
      <w:r>
        <w:rPr>
          <w:rFonts w:hint="eastAsia" w:ascii="宋体" w:hAnsi="宋体" w:eastAsia="宋体"/>
          <w:szCs w:val="32"/>
          <w:lang w:val="en-US" w:eastAsia="zh-CN"/>
        </w:rPr>
        <w:t xml:space="preserve">9</w:t>
      </w:r>
      <w:r>
        <w:rPr>
          <w:rFonts w:hint="eastAsia" w:ascii="宋体" w:hAnsi="宋体" w:eastAsia="宋体"/>
          <w:szCs w:val="32"/>
        </w:rPr>
        <w:t xml:space="preserve">7.</w:t>
      </w:r>
      <w:r>
        <w:rPr>
          <w:rFonts w:hint="eastAsia" w:ascii="宋体" w:hAnsi="宋体" w:eastAsia="宋体"/>
          <w:szCs w:val="32"/>
          <w:lang w:val="en-US" w:eastAsia="zh-CN"/>
        </w:rPr>
        <w:t xml:space="preserve">97</w:t>
      </w:r>
      <w:r>
        <w:rPr>
          <w:rFonts w:hint="eastAsia" w:ascii="宋体" w:hAnsi="宋体" w:eastAsia="宋体"/>
          <w:szCs w:val="32"/>
        </w:rPr>
        <w:t xml:space="preserve">万元，资金支出预算执行率</w:t>
      </w:r>
      <w:r>
        <w:rPr>
          <w:rFonts w:hint="eastAsia" w:ascii="宋体" w:hAnsi="宋体" w:eastAsia="宋体"/>
          <w:szCs w:val="32"/>
          <w:lang w:val="en-US" w:eastAsia="zh-CN"/>
        </w:rPr>
        <w:t xml:space="preserve">53.38</w:t>
      </w:r>
      <w:r>
        <w:rPr>
          <w:rFonts w:hint="eastAsia" w:ascii="宋体" w:hAnsi="宋体" w:eastAsia="宋体"/>
          <w:szCs w:val="32"/>
        </w:rPr>
        <w:t xml:space="preserve">%。其中：</w:t>
      </w:r>
      <w:r>
        <w:rPr>
          <w:rFonts w:ascii="宋体" w:hAnsi="宋体" w:eastAsia="宋体" w:cs="仿宋_GB2312"/>
          <w:b/>
          <w:bCs/>
          <w:szCs w:val="32"/>
        </w:rPr>
      </w:r>
    </w:p>
    <w:p>
      <w:pPr>
        <w:pBdr/>
        <w:spacing w:line="384" w:lineRule="auto"/>
        <w:ind w:firstLine="640"/>
        <w:rPr>
          <w:rFonts w:ascii="宋体" w:hAnsi="宋体" w:eastAsia="宋体" w:cs="仿宋_GB2312"/>
          <w:szCs w:val="32"/>
        </w:rPr>
      </w:pPr>
      <w:r>
        <w:rPr>
          <w:rFonts w:hint="eastAsia" w:ascii="宋体" w:hAnsi="宋体" w:eastAsia="宋体" w:cs="仿宋_GB2312"/>
          <w:szCs w:val="32"/>
        </w:rPr>
        <w:t xml:space="preserve">基本支出预算</w:t>
      </w:r>
      <w:r>
        <w:rPr>
          <w:rFonts w:hint="eastAsia" w:ascii="宋体" w:hAnsi="宋体" w:eastAsia="宋体" w:cs="仿宋_GB2312"/>
          <w:szCs w:val="32"/>
          <w:lang w:val="en-US" w:eastAsia="zh-CN"/>
        </w:rPr>
        <w:t xml:space="preserve">106.55</w:t>
      </w:r>
      <w:r>
        <w:rPr>
          <w:rFonts w:hint="eastAsia" w:ascii="宋体" w:hAnsi="宋体" w:eastAsia="宋体" w:cs="仿宋_GB2312"/>
          <w:szCs w:val="32"/>
        </w:rPr>
        <w:t xml:space="preserve">万元，实际支出</w:t>
      </w:r>
      <w:r>
        <w:rPr>
          <w:rFonts w:hint="eastAsia" w:ascii="宋体" w:hAnsi="宋体" w:eastAsia="宋体" w:cs="仿宋_GB2312"/>
          <w:szCs w:val="32"/>
          <w:lang w:val="en-US" w:eastAsia="zh-CN"/>
        </w:rPr>
        <w:t xml:space="preserve">76.75</w:t>
      </w:r>
      <w:r>
        <w:rPr>
          <w:rFonts w:hint="eastAsia" w:ascii="宋体" w:hAnsi="宋体" w:eastAsia="宋体" w:cs="仿宋_GB2312"/>
          <w:szCs w:val="32"/>
        </w:rPr>
        <w:t xml:space="preserve">万元，具体包括工资福利支出</w:t>
      </w:r>
      <w:r>
        <w:rPr>
          <w:rFonts w:hint="eastAsia" w:ascii="宋体" w:hAnsi="宋体" w:eastAsia="宋体" w:cs="仿宋_GB2312"/>
          <w:szCs w:val="32"/>
          <w:lang w:val="en-US" w:eastAsia="zh-CN"/>
        </w:rPr>
        <w:t xml:space="preserve">70.02</w:t>
      </w:r>
      <w:r>
        <w:rPr>
          <w:rFonts w:hint="eastAsia" w:ascii="宋体" w:hAnsi="宋体" w:eastAsia="宋体" w:cs="仿宋_GB2312"/>
          <w:szCs w:val="32"/>
        </w:rPr>
        <w:t xml:space="preserve">万元，商品和服务支出</w:t>
      </w:r>
      <w:r>
        <w:rPr>
          <w:rFonts w:hint="eastAsia" w:ascii="宋体" w:hAnsi="宋体" w:eastAsia="宋体" w:cs="仿宋_GB2312"/>
          <w:szCs w:val="32"/>
          <w:lang w:val="en-US" w:eastAsia="zh-CN"/>
        </w:rPr>
        <w:t xml:space="preserve">6.73</w:t>
      </w:r>
      <w:r>
        <w:rPr>
          <w:rFonts w:hint="eastAsia" w:ascii="宋体" w:hAnsi="宋体" w:eastAsia="宋体" w:cs="仿宋_GB2312"/>
          <w:szCs w:val="32"/>
        </w:rPr>
        <w:t xml:space="preserve">万元。</w:t>
      </w:r>
      <w:r>
        <w:rPr>
          <w:rFonts w:ascii="宋体" w:hAnsi="宋体" w:eastAsia="宋体" w:cs="仿宋_GB2312"/>
          <w:szCs w:val="32"/>
        </w:rPr>
      </w:r>
    </w:p>
    <w:p>
      <w:pPr>
        <w:pBdr/>
        <w:spacing w:line="384" w:lineRule="auto"/>
        <w:ind w:firstLine="640"/>
        <w:rPr>
          <w:rFonts w:hint="default" w:ascii="宋体" w:hAnsi="宋体" w:eastAsia="宋体" w:cs="仿宋_GB2312"/>
          <w:szCs w:val="32"/>
          <w:lang w:val="en-US" w:eastAsia="zh-CN"/>
        </w:rPr>
      </w:pPr>
      <w:r>
        <w:rPr>
          <w:rFonts w:hint="eastAsia" w:ascii="宋体" w:hAnsi="宋体" w:eastAsia="宋体" w:cs="仿宋_GB2312"/>
          <w:szCs w:val="32"/>
        </w:rPr>
        <w:t xml:space="preserve">项目支出预算</w:t>
      </w:r>
      <w:r>
        <w:rPr>
          <w:rFonts w:hint="eastAsia" w:ascii="宋体" w:hAnsi="宋体" w:eastAsia="宋体" w:cs="仿宋_GB2312"/>
          <w:szCs w:val="32"/>
          <w:lang w:val="en-US" w:eastAsia="zh-CN"/>
        </w:rPr>
        <w:t xml:space="preserve">77</w:t>
      </w:r>
      <w:r>
        <w:rPr>
          <w:rFonts w:hint="eastAsia" w:ascii="宋体" w:hAnsi="宋体" w:eastAsia="宋体" w:cs="仿宋_GB2312"/>
          <w:szCs w:val="32"/>
        </w:rPr>
        <w:t xml:space="preserve">.00万元，实际支出为</w:t>
      </w:r>
      <w:r>
        <w:rPr>
          <w:rFonts w:hint="eastAsia" w:ascii="宋体" w:hAnsi="宋体" w:eastAsia="宋体" w:cs="仿宋_GB2312"/>
          <w:szCs w:val="32"/>
          <w:lang w:val="en-US" w:eastAsia="zh-CN"/>
        </w:rPr>
        <w:t xml:space="preserve">21</w:t>
      </w:r>
      <w:r>
        <w:rPr>
          <w:rFonts w:hint="eastAsia" w:ascii="宋体" w:hAnsi="宋体" w:eastAsia="宋体" w:cs="仿宋_GB2312"/>
          <w:szCs w:val="32"/>
        </w:rPr>
        <w:t xml:space="preserve">.</w:t>
      </w:r>
      <w:r>
        <w:rPr>
          <w:rFonts w:hint="eastAsia" w:ascii="宋体" w:hAnsi="宋体" w:eastAsia="宋体" w:cs="仿宋_GB2312"/>
          <w:szCs w:val="32"/>
          <w:lang w:val="en-US" w:eastAsia="zh-CN"/>
        </w:rPr>
        <w:t xml:space="preserve">22</w:t>
      </w:r>
      <w:r>
        <w:rPr>
          <w:rFonts w:hint="eastAsia" w:ascii="宋体" w:hAnsi="宋体" w:eastAsia="宋体" w:cs="仿宋_GB2312"/>
          <w:szCs w:val="32"/>
        </w:rPr>
        <w:t xml:space="preserve">万元</w:t>
      </w:r>
      <w:r>
        <w:rPr>
          <w:rFonts w:hint="eastAsia" w:ascii="宋体" w:hAnsi="宋体" w:eastAsia="宋体" w:cs="仿宋_GB2312"/>
          <w:szCs w:val="32"/>
          <w:lang w:eastAsia="zh-CN"/>
        </w:rPr>
        <w:t xml:space="preserve">，其中：非基本建设类支出</w:t>
      </w:r>
      <w:r>
        <w:rPr>
          <w:rFonts w:hint="eastAsia" w:ascii="宋体" w:hAnsi="宋体" w:eastAsia="宋体" w:cs="仿宋_GB2312"/>
          <w:szCs w:val="32"/>
          <w:lang w:val="en-US" w:eastAsia="zh-CN"/>
        </w:rPr>
        <w:t xml:space="preserve">21.22万元。</w:t>
      </w:r>
      <w:bookmarkStart w:id="0" w:name="_GoBack"/>
      <w:r/>
      <w:bookmarkEnd w:id="0"/>
      <w:r/>
      <w:r>
        <w:rPr>
          <w:rFonts w:hint="default" w:ascii="宋体" w:hAnsi="宋体" w:eastAsia="宋体" w:cs="仿宋_GB2312"/>
          <w:szCs w:val="32"/>
          <w:lang w:val="en-US" w:eastAsia="zh-CN"/>
        </w:rPr>
      </w:r>
    </w:p>
    <w:p>
      <w:pPr>
        <w:pBdr/>
        <w:spacing w:line="384" w:lineRule="auto"/>
        <w:ind w:left="570"/>
        <w:rPr>
          <w:rFonts w:ascii="宋体" w:hAnsi="宋体" w:eastAsia="宋体" w:cs="仿宋_GB2312"/>
          <w:szCs w:val="32"/>
        </w:rPr>
      </w:pPr>
      <w:r>
        <w:rPr>
          <w:rFonts w:ascii="宋体" w:hAnsi="宋体" w:eastAsia="宋体" w:cs="仿宋_GB2312"/>
          <w:szCs w:val="32"/>
        </w:rPr>
        <w:fldChar w:fldCharType="begin"/>
      </w:r>
      <w:r>
        <w:rPr>
          <w:rFonts w:ascii="宋体" w:hAnsi="宋体" w:eastAsia="宋体" w:cs="仿宋_GB2312"/>
          <w:szCs w:val="32"/>
        </w:rPr>
        <w:instrText xml:space="preserve"> </w:instrText>
      </w:r>
      <w:r>
        <w:rPr>
          <w:rFonts w:hint="eastAsia" w:ascii="宋体" w:hAnsi="宋体" w:eastAsia="宋体" w:cs="仿宋_GB2312"/>
          <w:szCs w:val="32"/>
        </w:rPr>
        <w:instrText xml:space="preserve">= 1 \* GB3</w:instrText>
      </w:r>
      <w:r>
        <w:rPr>
          <w:rFonts w:ascii="宋体" w:hAnsi="宋体" w:eastAsia="宋体" w:cs="仿宋_GB2312"/>
          <w:szCs w:val="32"/>
        </w:rPr>
        <w:instrText xml:space="preserve"> </w:instrText>
      </w:r>
      <w:r>
        <w:rPr>
          <w:rFonts w:ascii="宋体" w:hAnsi="宋体" w:eastAsia="宋体" w:cs="仿宋_GB2312"/>
          <w:szCs w:val="32"/>
        </w:rPr>
        <w:fldChar w:fldCharType="separate"/>
      </w:r>
      <w:r>
        <w:rPr>
          <w:rFonts w:hint="eastAsia" w:ascii="宋体" w:hAnsi="宋体" w:eastAsia="宋体" w:cs="仿宋_GB2312"/>
          <w:szCs w:val="32"/>
        </w:rPr>
        <w:t xml:space="preserve">①</w:t>
      </w:r>
      <w:r>
        <w:rPr>
          <w:rFonts w:ascii="宋体" w:hAnsi="宋体" w:eastAsia="宋体" w:cs="仿宋_GB2312"/>
          <w:szCs w:val="32"/>
        </w:rPr>
        <w:fldChar w:fldCharType="end"/>
      </w:r>
      <w:r>
        <w:rPr>
          <w:rFonts w:hint="eastAsia" w:ascii="宋体" w:hAnsi="宋体" w:eastAsia="宋体" w:cs="仿宋_GB2312"/>
          <w:szCs w:val="32"/>
        </w:rPr>
        <w:t xml:space="preserve">结转结余率</w:t>
      </w:r>
      <w:r>
        <w:rPr>
          <w:rFonts w:ascii="宋体" w:hAnsi="宋体" w:eastAsia="宋体" w:cs="仿宋_GB2312"/>
          <w:szCs w:val="32"/>
        </w:rPr>
      </w:r>
    </w:p>
    <w:p>
      <w:pPr>
        <w:pBdr/>
        <w:spacing w:line="384" w:lineRule="auto"/>
        <w:ind w:right="125" w:firstLine="550" w:left="-15"/>
        <w:rPr>
          <w:rFonts w:ascii="宋体" w:hAnsi="宋体" w:eastAsia="宋体" w:cs="仿宋_GB2312"/>
          <w:szCs w:val="32"/>
        </w:rPr>
      </w:pPr>
      <w:r>
        <w:rPr>
          <w:rFonts w:hint="eastAsia" w:ascii="宋体" w:hAnsi="宋体" w:eastAsia="宋体" w:cs="仿宋_GB2312"/>
          <w:szCs w:val="32"/>
        </w:rPr>
        <w:t xml:space="preserve">根据预决算资料，部门本年度结余结转金额</w:t>
      </w:r>
      <w:r>
        <w:rPr>
          <w:rFonts w:hint="eastAsia" w:ascii="宋体" w:hAnsi="宋体" w:eastAsia="宋体" w:cs="仿宋_GB2312"/>
          <w:szCs w:val="32"/>
          <w:lang w:val="en-US" w:eastAsia="zh-CN"/>
        </w:rPr>
        <w:t xml:space="preserve">85.58</w:t>
      </w:r>
      <w:r>
        <w:rPr>
          <w:rFonts w:hint="eastAsia" w:ascii="宋体" w:hAnsi="宋体" w:eastAsia="宋体" w:cs="仿宋_GB2312"/>
          <w:szCs w:val="32"/>
        </w:rPr>
        <w:t xml:space="preserve">万元，全年调整后预算总额</w:t>
      </w:r>
      <w:r>
        <w:rPr>
          <w:rFonts w:hint="eastAsia" w:ascii="宋体" w:hAnsi="宋体" w:eastAsia="宋体"/>
          <w:szCs w:val="32"/>
          <w:lang w:val="en-US" w:eastAsia="zh-CN"/>
        </w:rPr>
        <w:t xml:space="preserve">183.55</w:t>
      </w:r>
      <w:r>
        <w:rPr>
          <w:rFonts w:hint="eastAsia" w:ascii="宋体" w:hAnsi="宋体" w:eastAsia="宋体" w:cs="仿宋_GB2312"/>
          <w:szCs w:val="32"/>
        </w:rPr>
        <w:t xml:space="preserve">万元，结转结余率为26.53%。年度结转结余得到有效控制。</w:t>
      </w:r>
      <w:r>
        <w:rPr>
          <w:rFonts w:ascii="宋体" w:hAnsi="宋体" w:eastAsia="宋体" w:cs="仿宋_GB2312"/>
          <w:szCs w:val="32"/>
        </w:rPr>
      </w:r>
    </w:p>
    <w:p>
      <w:pPr>
        <w:pBdr/>
        <w:spacing w:line="384" w:lineRule="auto"/>
        <w:ind w:right="125" w:firstLine="550" w:left="-15"/>
        <w:rPr>
          <w:rFonts w:ascii="宋体" w:hAnsi="宋体" w:eastAsia="宋体" w:cs="仿宋_GB2312"/>
          <w:szCs w:val="32"/>
        </w:rPr>
      </w:pPr>
      <w:r>
        <w:rPr>
          <w:rFonts w:ascii="宋体" w:hAnsi="宋体" w:eastAsia="宋体" w:cs="仿宋_GB2312"/>
          <w:szCs w:val="32"/>
        </w:rPr>
        <w:fldChar w:fldCharType="begin"/>
      </w:r>
      <w:r>
        <w:rPr>
          <w:rFonts w:ascii="宋体" w:hAnsi="宋体" w:eastAsia="宋体" w:cs="仿宋_GB2312"/>
          <w:szCs w:val="32"/>
        </w:rPr>
        <w:instrText xml:space="preserve"> </w:instrText>
      </w:r>
      <w:r>
        <w:rPr>
          <w:rFonts w:hint="eastAsia" w:ascii="宋体" w:hAnsi="宋体" w:eastAsia="宋体" w:cs="仿宋_GB2312"/>
          <w:szCs w:val="32"/>
        </w:rPr>
        <w:instrText xml:space="preserve">= 2 \* GB3</w:instrText>
      </w:r>
      <w:r>
        <w:rPr>
          <w:rFonts w:ascii="宋体" w:hAnsi="宋体" w:eastAsia="宋体" w:cs="仿宋_GB2312"/>
          <w:szCs w:val="32"/>
        </w:rPr>
        <w:instrText xml:space="preserve"> </w:instrText>
      </w:r>
      <w:r>
        <w:rPr>
          <w:rFonts w:ascii="宋体" w:hAnsi="宋体" w:eastAsia="宋体" w:cs="仿宋_GB2312"/>
          <w:szCs w:val="32"/>
        </w:rPr>
        <w:fldChar w:fldCharType="separate"/>
      </w:r>
      <w:r>
        <w:rPr>
          <w:rFonts w:hint="eastAsia" w:ascii="宋体" w:hAnsi="宋体" w:eastAsia="宋体" w:cs="仿宋_GB2312"/>
          <w:szCs w:val="32"/>
        </w:rPr>
        <w:t xml:space="preserve">②</w:t>
      </w:r>
      <w:r>
        <w:rPr>
          <w:rFonts w:ascii="宋体" w:hAnsi="宋体" w:eastAsia="宋体" w:cs="仿宋_GB2312"/>
          <w:szCs w:val="32"/>
        </w:rPr>
        <w:fldChar w:fldCharType="end"/>
      </w:r>
      <w:r>
        <w:rPr>
          <w:rFonts w:hint="eastAsia" w:ascii="宋体" w:hAnsi="宋体" w:eastAsia="宋体" w:cs="仿宋_GB2312"/>
          <w:szCs w:val="32"/>
        </w:rPr>
        <w:t xml:space="preserve">公用经费控制率</w:t>
      </w:r>
      <w:r>
        <w:rPr>
          <w:rFonts w:ascii="宋体" w:hAnsi="宋体" w:eastAsia="宋体" w:cs="仿宋_GB2312"/>
          <w:szCs w:val="32"/>
        </w:rPr>
      </w:r>
    </w:p>
    <w:p>
      <w:pPr>
        <w:pBdr/>
        <w:spacing w:line="384" w:lineRule="auto"/>
        <w:ind w:right="125" w:firstLine="550" w:left="-15"/>
        <w:rPr>
          <w:rFonts w:ascii="宋体" w:hAnsi="宋体" w:eastAsia="宋体" w:cs="仿宋_GB2312"/>
          <w:szCs w:val="32"/>
        </w:rPr>
      </w:pPr>
      <w:r>
        <w:rPr>
          <w:rFonts w:hint="eastAsia" w:ascii="宋体" w:hAnsi="宋体" w:eastAsia="宋体" w:cs="仿宋_GB2312"/>
          <w:szCs w:val="32"/>
        </w:rPr>
        <w:t xml:space="preserve">根据预决算资料，部门预算安排的公用</w:t>
      </w:r>
      <w:r>
        <w:rPr>
          <w:rFonts w:hint="eastAsia" w:ascii="宋体" w:hAnsi="宋体" w:eastAsia="宋体" w:cs="仿宋_GB2312"/>
          <w:color w:val="000000"/>
          <w:szCs w:val="32"/>
        </w:rPr>
        <w:t xml:space="preserve">经费总额为</w:t>
      </w:r>
      <w:r>
        <w:rPr>
          <w:rFonts w:hint="eastAsia" w:ascii="宋体" w:hAnsi="宋体" w:eastAsia="宋体" w:cs="仿宋_GB2312"/>
          <w:color w:val="000000"/>
          <w:szCs w:val="32"/>
          <w:lang w:val="en-US" w:eastAsia="zh-CN"/>
        </w:rPr>
        <w:t xml:space="preserve">36.53</w:t>
      </w:r>
      <w:r>
        <w:rPr>
          <w:rFonts w:hint="eastAsia" w:ascii="宋体" w:hAnsi="宋体" w:eastAsia="宋体" w:cs="仿宋_GB2312"/>
          <w:color w:val="000000"/>
          <w:szCs w:val="32"/>
        </w:rPr>
        <w:t xml:space="preserve">万元，实际支出的公用经费总额为</w:t>
      </w:r>
      <w:r>
        <w:rPr>
          <w:rFonts w:hint="eastAsia" w:ascii="宋体" w:hAnsi="宋体" w:eastAsia="宋体" w:cs="仿宋_GB2312"/>
          <w:color w:val="000000"/>
          <w:szCs w:val="32"/>
          <w:lang w:val="en-US" w:eastAsia="zh-CN"/>
        </w:rPr>
        <w:t xml:space="preserve">6.73</w:t>
      </w:r>
      <w:r>
        <w:rPr>
          <w:rFonts w:hint="eastAsia" w:ascii="宋体" w:hAnsi="宋体" w:eastAsia="宋体" w:cs="仿宋_GB2312"/>
          <w:color w:val="000000"/>
          <w:szCs w:val="32"/>
        </w:rPr>
        <w:t xml:space="preserve">万元，公用经费控制率</w:t>
      </w:r>
      <w:r>
        <w:rPr>
          <w:rFonts w:hint="eastAsia" w:ascii="宋体" w:hAnsi="宋体" w:eastAsia="宋体" w:cs="仿宋_GB2312"/>
          <w:color w:val="000000"/>
          <w:szCs w:val="32"/>
          <w:lang w:val="en-US" w:eastAsia="zh-CN"/>
        </w:rPr>
        <w:t xml:space="preserve">18.41</w:t>
      </w:r>
      <w:r>
        <w:rPr>
          <w:rFonts w:hint="eastAsia" w:ascii="宋体" w:hAnsi="宋体" w:eastAsia="宋体" w:cs="仿宋_GB2312"/>
          <w:color w:val="000000"/>
          <w:szCs w:val="32"/>
        </w:rPr>
        <w:t xml:space="preserve">%。</w:t>
      </w:r>
      <w:r>
        <w:rPr>
          <w:rFonts w:hint="eastAsia" w:ascii="宋体" w:hAnsi="宋体" w:eastAsia="宋体" w:cs="仿宋_GB2312"/>
          <w:szCs w:val="32"/>
        </w:rPr>
        <w:t xml:space="preserve">公用经费是厉行节约、疫情影响所致。</w:t>
      </w:r>
      <w:r>
        <w:rPr>
          <w:rFonts w:ascii="宋体" w:hAnsi="宋体" w:eastAsia="宋体" w:cs="仿宋_GB2312"/>
          <w:szCs w:val="32"/>
        </w:rPr>
      </w:r>
    </w:p>
    <w:p>
      <w:pPr>
        <w:pBdr/>
        <w:spacing w:line="384" w:lineRule="auto"/>
        <w:ind w:right="125" w:firstLine="550" w:left="-15"/>
        <w:rPr>
          <w:rFonts w:ascii="宋体" w:hAnsi="宋体" w:eastAsia="宋体" w:cs="仿宋_GB2312"/>
          <w:szCs w:val="32"/>
        </w:rPr>
      </w:pPr>
      <w:r>
        <w:rPr>
          <w:rFonts w:ascii="宋体" w:hAnsi="宋体" w:eastAsia="宋体" w:cs="仿宋_GB2312"/>
          <w:szCs w:val="32"/>
        </w:rPr>
        <w:fldChar w:fldCharType="begin"/>
      </w:r>
      <w:r>
        <w:rPr>
          <w:rFonts w:ascii="宋体" w:hAnsi="宋体" w:eastAsia="宋体" w:cs="仿宋_GB2312"/>
          <w:szCs w:val="32"/>
        </w:rPr>
        <w:instrText xml:space="preserve"> </w:instrText>
      </w:r>
      <w:r>
        <w:rPr>
          <w:rFonts w:hint="eastAsia" w:ascii="宋体" w:hAnsi="宋体" w:eastAsia="宋体" w:cs="仿宋_GB2312"/>
          <w:szCs w:val="32"/>
        </w:rPr>
        <w:instrText xml:space="preserve">= 3 \* GB3</w:instrText>
      </w:r>
      <w:r>
        <w:rPr>
          <w:rFonts w:ascii="宋体" w:hAnsi="宋体" w:eastAsia="宋体" w:cs="仿宋_GB2312"/>
          <w:szCs w:val="32"/>
        </w:rPr>
        <w:instrText xml:space="preserve"> </w:instrText>
      </w:r>
      <w:r>
        <w:rPr>
          <w:rFonts w:ascii="宋体" w:hAnsi="宋体" w:eastAsia="宋体" w:cs="仿宋_GB2312"/>
          <w:szCs w:val="32"/>
        </w:rPr>
        <w:fldChar w:fldCharType="separate"/>
      </w:r>
      <w:r>
        <w:rPr>
          <w:rFonts w:hint="eastAsia" w:ascii="宋体" w:hAnsi="宋体" w:eastAsia="宋体" w:cs="仿宋_GB2312"/>
          <w:szCs w:val="32"/>
        </w:rPr>
        <w:t xml:space="preserve">③</w:t>
      </w:r>
      <w:r>
        <w:rPr>
          <w:rFonts w:ascii="宋体" w:hAnsi="宋体" w:eastAsia="宋体" w:cs="仿宋_GB2312"/>
          <w:szCs w:val="32"/>
        </w:rPr>
        <w:fldChar w:fldCharType="end"/>
      </w:r>
      <w:r>
        <w:rPr>
          <w:rFonts w:hint="eastAsia" w:ascii="宋体" w:hAnsi="宋体" w:eastAsia="宋体" w:cs="仿宋_GB2312"/>
          <w:szCs w:val="32"/>
        </w:rPr>
        <w:t xml:space="preserve"> “三公”经费控制率</w:t>
      </w:r>
      <w:r>
        <w:rPr>
          <w:rFonts w:ascii="宋体" w:hAnsi="宋体" w:eastAsia="宋体" w:cs="仿宋_GB2312"/>
          <w:szCs w:val="32"/>
        </w:rPr>
      </w:r>
    </w:p>
    <w:p>
      <w:pPr>
        <w:pBdr/>
        <w:spacing w:line="384" w:lineRule="auto"/>
        <w:ind w:firstLine="640"/>
        <w:rPr>
          <w:rFonts w:hint="eastAsia" w:ascii="宋体" w:hAnsi="宋体" w:eastAsia="宋体" w:cs="仿宋_GB2312"/>
          <w:szCs w:val="32"/>
        </w:rPr>
      </w:pPr>
      <w:r>
        <w:rPr>
          <w:rFonts w:hint="eastAsia" w:ascii="宋体" w:hAnsi="宋体" w:eastAsia="宋体" w:cs="仿宋_GB2312"/>
          <w:szCs w:val="32"/>
        </w:rPr>
        <w:t xml:space="preserve">根据预决算资料，“三公”经费预算数为0.00万元，实际支出数为0.00万元，控制率为0%。因公出国（境）未发生费用，且实施公务用车制度改革，加强公务用车管理，疫情公务接待活动，使得“三公”经费单项没有发生。</w:t>
      </w:r>
      <w:r>
        <w:rPr>
          <w:rFonts w:hint="eastAsia" w:ascii="宋体" w:hAnsi="宋体" w:eastAsia="宋体" w:cs="仿宋_GB2312"/>
          <w:szCs w:val="32"/>
        </w:rPr>
      </w:r>
    </w:p>
    <w:p>
      <w:pPr>
        <w:pBdr/>
        <w:spacing w:line="384" w:lineRule="auto"/>
        <w:ind w:firstLine="640"/>
        <w:rPr>
          <w:rFonts w:hint="eastAsia" w:ascii="宋体" w:hAnsi="宋体" w:eastAsia="宋体" w:cs="仿宋_GB2312"/>
          <w:szCs w:val="32"/>
        </w:rPr>
      </w:pPr>
      <w:r>
        <w:rPr>
          <w:rFonts w:hint="eastAsia" w:ascii="宋体" w:hAnsi="宋体" w:eastAsia="宋体" w:cs="仿宋_GB2312"/>
          <w:szCs w:val="32"/>
        </w:rPr>
        <w:t xml:space="preserve">④管理制度健全性</w:t>
      </w:r>
      <w:r>
        <w:rPr>
          <w:rFonts w:hint="eastAsia" w:ascii="宋体" w:hAnsi="宋体" w:eastAsia="宋体" w:cs="仿宋_GB2312"/>
          <w:szCs w:val="32"/>
        </w:rPr>
      </w:r>
    </w:p>
    <w:p>
      <w:pPr>
        <w:pBdr/>
        <w:spacing w:line="384" w:lineRule="auto"/>
        <w:ind w:firstLine="640"/>
        <w:rPr>
          <w:rFonts w:hint="eastAsia" w:ascii="宋体" w:hAnsi="宋体" w:eastAsia="宋体" w:cs="仿宋_GB2312"/>
          <w:szCs w:val="32"/>
        </w:rPr>
      </w:pPr>
      <w:r>
        <w:rPr>
          <w:rFonts w:hint="eastAsia" w:ascii="宋体" w:hAnsi="宋体" w:eastAsia="宋体" w:cs="仿宋_GB2312"/>
          <w:szCs w:val="32"/>
        </w:rPr>
        <w:t xml:space="preserve">本部门建立各项管理制度，有内部财务管理制度、会计核算制度、公务接待制度、出差管理办法、公车管理、会议制度、预案销号制度、厉行节约制度</w:t>
      </w:r>
      <w:r>
        <w:rPr>
          <w:rFonts w:hint="eastAsia" w:ascii="宋体" w:hAnsi="宋体" w:eastAsia="宋体" w:cs="仿宋_GB2312"/>
          <w:szCs w:val="32"/>
          <w:lang w:eastAsia="zh-CN"/>
        </w:rPr>
        <w:t xml:space="preserve">、资产管理</w:t>
      </w:r>
      <w:r>
        <w:rPr>
          <w:rFonts w:hint="eastAsia" w:ascii="宋体" w:hAnsi="宋体" w:eastAsia="宋体" w:cs="仿宋_GB2312"/>
          <w:szCs w:val="32"/>
        </w:rPr>
        <w:t xml:space="preserve">等制度，相关管理制度合法、合规、完整，相关管理制度得到有效执行。</w:t>
      </w:r>
      <w:r>
        <w:rPr>
          <w:rFonts w:hint="eastAsia" w:ascii="宋体" w:hAnsi="宋体" w:eastAsia="宋体" w:cs="仿宋_GB2312"/>
          <w:szCs w:val="32"/>
        </w:rPr>
      </w:r>
    </w:p>
    <w:p>
      <w:pPr>
        <w:pBdr/>
        <w:spacing w:line="384" w:lineRule="auto"/>
        <w:ind w:firstLine="640"/>
        <w:rPr>
          <w:rFonts w:hint="eastAsia" w:ascii="宋体" w:hAnsi="宋体" w:eastAsia="宋体" w:cs="仿宋_GB2312"/>
          <w:szCs w:val="32"/>
          <w:lang w:eastAsia="zh-CN"/>
        </w:rPr>
      </w:pPr>
      <w:r>
        <w:rPr>
          <w:rFonts w:hint="eastAsia" w:ascii="宋体" w:hAnsi="宋体" w:eastAsia="宋体" w:cs="仿宋_GB2312"/>
          <w:szCs w:val="32"/>
        </w:rPr>
        <w:t xml:space="preserve">⑤资金使用合规</w:t>
      </w:r>
      <w:r>
        <w:rPr>
          <w:rFonts w:hint="eastAsia" w:ascii="宋体" w:hAnsi="宋体" w:eastAsia="宋体" w:cs="仿宋_GB2312"/>
          <w:szCs w:val="32"/>
          <w:lang w:eastAsia="zh-CN"/>
        </w:rPr>
        <w:t xml:space="preserve">性</w:t>
      </w:r>
      <w:r>
        <w:rPr>
          <w:rFonts w:hint="eastAsia" w:ascii="宋体" w:hAnsi="宋体" w:eastAsia="宋体" w:cs="仿宋_GB2312"/>
          <w:szCs w:val="32"/>
          <w:lang w:eastAsia="zh-CN"/>
        </w:rPr>
      </w:r>
    </w:p>
    <w:p>
      <w:pPr>
        <w:pBdr/>
        <w:spacing w:line="384" w:lineRule="auto"/>
        <w:ind w:firstLine="640"/>
        <w:rPr>
          <w:rFonts w:hint="eastAsia" w:ascii="宋体" w:hAnsi="宋体" w:eastAsia="宋体" w:cs="仿宋_GB2312"/>
          <w:szCs w:val="32"/>
        </w:rPr>
      </w:pPr>
      <w:r>
        <w:rPr>
          <w:rFonts w:hint="eastAsia" w:ascii="宋体" w:hAnsi="宋体" w:eastAsia="宋体" w:cs="仿宋_GB2312"/>
          <w:szCs w:val="32"/>
        </w:rPr>
        <w:t xml:space="preserve">本部门支出符合国家财经法规和财务管理制度规定以及有关专项资金管理办法的规定，资金的拨付有完整的审批过程和手续，项目的支出按规定经过评估论证，支出符合部门预算批复的用途，资金使用无截留、挤占、挪用、虚列支出等情况。</w:t>
      </w:r>
      <w:r>
        <w:rPr>
          <w:rFonts w:hint="eastAsia" w:ascii="宋体" w:hAnsi="宋体" w:eastAsia="宋体" w:cs="仿宋_GB2312"/>
          <w:szCs w:val="32"/>
        </w:rPr>
      </w:r>
    </w:p>
    <w:p>
      <w:pPr>
        <w:pBdr/>
        <w:spacing w:line="384" w:lineRule="auto"/>
        <w:ind w:firstLine="640"/>
        <w:rPr>
          <w:rFonts w:hint="eastAsia" w:ascii="宋体" w:hAnsi="宋体" w:eastAsia="宋体" w:cs="仿宋_GB2312"/>
          <w:szCs w:val="32"/>
          <w:lang w:eastAsia="zh-CN"/>
        </w:rPr>
      </w:pPr>
      <w:r>
        <w:rPr>
          <w:rFonts w:hint="eastAsia" w:ascii="宋体" w:hAnsi="宋体" w:eastAsia="宋体" w:cs="仿宋_GB2312"/>
          <w:szCs w:val="32"/>
        </w:rPr>
        <w:fldChar w:fldCharType="begin"/>
      </w:r>
      <w:r>
        <w:rPr>
          <w:rFonts w:hint="eastAsia" w:ascii="宋体" w:hAnsi="宋体" w:eastAsia="宋体" w:cs="仿宋_GB2312"/>
          <w:szCs w:val="32"/>
        </w:rPr>
        <w:instrText xml:space="preserve"> = 6 \* GB3 \* MERGEFORMAT </w:instrText>
      </w:r>
      <w:r>
        <w:rPr>
          <w:rFonts w:hint="eastAsia" w:ascii="宋体" w:hAnsi="宋体" w:eastAsia="宋体" w:cs="仿宋_GB2312"/>
          <w:szCs w:val="32"/>
        </w:rPr>
        <w:fldChar w:fldCharType="separate"/>
      </w:r>
      <w:r>
        <w:t xml:space="preserve">⑥</w:t>
      </w:r>
      <w:r>
        <w:rPr>
          <w:rFonts w:hint="eastAsia" w:ascii="宋体" w:hAnsi="宋体" w:eastAsia="宋体" w:cs="仿宋_GB2312"/>
          <w:szCs w:val="32"/>
        </w:rPr>
        <w:fldChar w:fldCharType="end"/>
      </w:r>
      <w:r>
        <w:rPr>
          <w:rFonts w:hint="eastAsia" w:ascii="宋体" w:hAnsi="宋体" w:eastAsia="宋体" w:cs="仿宋_GB2312"/>
          <w:szCs w:val="32"/>
        </w:rPr>
        <w:t xml:space="preserve">资产管理</w:t>
      </w:r>
      <w:r>
        <w:rPr>
          <w:rFonts w:hint="eastAsia" w:ascii="宋体" w:hAnsi="宋体" w:eastAsia="宋体" w:cs="仿宋_GB2312"/>
          <w:szCs w:val="32"/>
          <w:lang w:eastAsia="zh-CN"/>
        </w:rPr>
        <w:t xml:space="preserve">安全性</w:t>
      </w:r>
      <w:r>
        <w:rPr>
          <w:rFonts w:hint="eastAsia" w:ascii="宋体" w:hAnsi="宋体" w:eastAsia="宋体" w:cs="仿宋_GB2312"/>
          <w:szCs w:val="32"/>
          <w:lang w:eastAsia="zh-CN"/>
        </w:rPr>
      </w:r>
    </w:p>
    <w:p>
      <w:pPr>
        <w:pBdr/>
        <w:spacing w:line="384" w:lineRule="auto"/>
        <w:ind w:firstLine="640"/>
        <w:rPr>
          <w:rFonts w:hint="eastAsia" w:ascii="宋体" w:hAnsi="宋体" w:eastAsia="宋体" w:cs="仿宋_GB2312"/>
          <w:szCs w:val="32"/>
        </w:rPr>
      </w:pPr>
      <w:r>
        <w:rPr>
          <w:rFonts w:hint="eastAsia" w:ascii="宋体" w:hAnsi="宋体" w:eastAsia="宋体" w:cs="仿宋_GB2312"/>
          <w:szCs w:val="32"/>
        </w:rPr>
        <w:t xml:space="preserve">资产保存完整、使用合规、配置合理、处置规范、收入及时足额上缴，资产账务管理合规，账实相符。</w:t>
      </w:r>
      <w:r>
        <w:rPr>
          <w:rFonts w:hint="eastAsia" w:ascii="宋体" w:hAnsi="宋体" w:eastAsia="宋体" w:cs="仿宋_GB2312"/>
          <w:szCs w:val="32"/>
        </w:rPr>
      </w:r>
    </w:p>
    <w:p>
      <w:pPr>
        <w:pBdr/>
        <w:spacing w:line="384" w:lineRule="auto"/>
        <w:ind w:firstLine="640"/>
        <w:rPr>
          <w:rFonts w:ascii="宋体" w:hAnsi="宋体" w:eastAsia="宋体"/>
          <w:szCs w:val="32"/>
        </w:rPr>
      </w:pPr>
      <w:r>
        <w:rPr>
          <w:rFonts w:hint="eastAsia" w:ascii="宋体" w:hAnsi="宋体" w:eastAsia="宋体"/>
          <w:szCs w:val="32"/>
        </w:rPr>
        <w:t xml:space="preserve">2、</w:t>
      </w:r>
      <w:r>
        <w:rPr>
          <w:rFonts w:ascii="宋体" w:hAnsi="宋体" w:eastAsia="宋体"/>
          <w:szCs w:val="32"/>
        </w:rPr>
        <w:t xml:space="preserve">绩效目标完成情况分析</w:t>
      </w:r>
      <w:r>
        <w:rPr>
          <w:rFonts w:ascii="宋体" w:hAnsi="宋体" w:eastAsia="宋体"/>
          <w:szCs w:val="32"/>
        </w:rPr>
      </w:r>
    </w:p>
    <w:p>
      <w:pPr>
        <w:pBdr/>
        <w:spacing w:line="384" w:lineRule="auto"/>
        <w:ind w:firstLine="640"/>
        <w:rPr>
          <w:rFonts w:ascii="宋体" w:hAnsi="宋体" w:eastAsia="宋体"/>
          <w:szCs w:val="32"/>
        </w:rPr>
      </w:pPr>
      <w:r>
        <w:rPr>
          <w:rFonts w:hint="eastAsia" w:ascii="宋体" w:hAnsi="宋体" w:eastAsia="宋体"/>
          <w:szCs w:val="32"/>
        </w:rPr>
        <w:t xml:space="preserve">（1）产出指标完成情况分析</w:t>
      </w:r>
      <w:r>
        <w:rPr>
          <w:rFonts w:ascii="宋体" w:hAnsi="宋体" w:eastAsia="宋体"/>
          <w:szCs w:val="32"/>
        </w:rPr>
      </w:r>
    </w:p>
    <w:p>
      <w:pPr>
        <w:pBdr/>
        <w:spacing w:line="384" w:lineRule="auto"/>
        <w:ind w:firstLine="640"/>
        <w:rPr>
          <w:rFonts w:ascii="宋体" w:hAnsi="宋体" w:eastAsia="宋体" w:cs="仿宋"/>
          <w:szCs w:val="32"/>
        </w:rPr>
      </w:pPr>
      <w:r>
        <w:rPr>
          <w:rFonts w:ascii="宋体" w:hAnsi="宋体" w:eastAsia="宋体" w:cs="仿宋"/>
          <w:szCs w:val="32"/>
        </w:rPr>
        <w:fldChar w:fldCharType="begin"/>
      </w:r>
      <w:r>
        <w:rPr>
          <w:rFonts w:ascii="宋体" w:hAnsi="宋体" w:eastAsia="宋体" w:cs="仿宋"/>
          <w:szCs w:val="32"/>
        </w:rPr>
        <w:instrText xml:space="preserve"> </w:instrText>
      </w:r>
      <w:r>
        <w:rPr>
          <w:rFonts w:hint="eastAsia" w:ascii="宋体" w:hAnsi="宋体" w:eastAsia="宋体" w:cs="仿宋"/>
          <w:szCs w:val="32"/>
        </w:rPr>
        <w:instrText xml:space="preserve">= 1 \* GB3</w:instrText>
      </w:r>
      <w:r>
        <w:rPr>
          <w:rFonts w:ascii="宋体" w:hAnsi="宋体" w:eastAsia="宋体" w:cs="仿宋"/>
          <w:szCs w:val="32"/>
        </w:rPr>
        <w:instrText xml:space="preserve"> </w:instrText>
      </w:r>
      <w:r>
        <w:rPr>
          <w:rFonts w:ascii="宋体" w:hAnsi="宋体" w:eastAsia="宋体" w:cs="仿宋"/>
          <w:szCs w:val="32"/>
        </w:rPr>
        <w:fldChar w:fldCharType="separate"/>
      </w:r>
      <w:r>
        <w:rPr>
          <w:rFonts w:hint="eastAsia" w:ascii="宋体" w:hAnsi="宋体" w:eastAsia="宋体" w:cs="仿宋"/>
          <w:szCs w:val="32"/>
        </w:rPr>
        <w:t xml:space="preserve">①</w:t>
      </w:r>
      <w:r>
        <w:rPr>
          <w:rFonts w:ascii="宋体" w:hAnsi="宋体" w:eastAsia="宋体" w:cs="仿宋"/>
          <w:szCs w:val="32"/>
        </w:rPr>
        <w:fldChar w:fldCharType="end"/>
      </w:r>
      <w:r>
        <w:rPr>
          <w:rFonts w:hint="eastAsia" w:ascii="宋体" w:hAnsi="宋体" w:eastAsia="宋体" w:cs="仿宋"/>
          <w:szCs w:val="32"/>
          <w:lang w:val="en-US" w:eastAsia="zh-CN"/>
        </w:rPr>
        <w:t xml:space="preserve">加快存量维修资金清理</w:t>
      </w:r>
      <w:r>
        <w:rPr>
          <w:rFonts w:ascii="宋体" w:hAnsi="宋体" w:eastAsia="宋体" w:cs="仿宋"/>
          <w:szCs w:val="32"/>
        </w:rPr>
      </w:r>
    </w:p>
    <w:p>
      <w:pPr>
        <w:pBdr/>
        <w:spacing w:line="384" w:lineRule="auto"/>
        <w:ind w:firstLine="640"/>
        <w:rPr>
          <w:rFonts w:hint="eastAsia" w:ascii="宋体" w:hAnsi="宋体" w:eastAsia="宋体" w:cs="仿宋"/>
          <w:szCs w:val="32"/>
        </w:rPr>
      </w:pPr>
      <w:r>
        <w:rPr>
          <w:rFonts w:hint="eastAsia" w:ascii="宋体" w:hAnsi="宋体" w:eastAsia="宋体" w:cs="仿宋"/>
          <w:szCs w:val="32"/>
        </w:rPr>
        <w:t xml:space="preserve">全面启动维修资金历史数据清理录入工作，</w:t>
      </w:r>
      <w:r>
        <w:rPr>
          <w:rFonts w:hint="eastAsia" w:ascii="宋体" w:hAnsi="宋体" w:eastAsia="宋体" w:cs="仿宋"/>
          <w:szCs w:val="32"/>
          <w:lang w:eastAsia="zh-CN"/>
        </w:rPr>
        <w:t xml:space="preserve">已</w:t>
      </w:r>
      <w:r>
        <w:rPr>
          <w:rFonts w:hint="eastAsia" w:ascii="宋体" w:hAnsi="宋体" w:eastAsia="宋体" w:cs="仿宋"/>
          <w:szCs w:val="32"/>
        </w:rPr>
        <w:t xml:space="preserve">完成了5.1万笔交存业务补录，共计补录金额为2.65亿元。</w:t>
      </w:r>
      <w:r>
        <w:rPr>
          <w:rFonts w:hint="eastAsia" w:ascii="宋体" w:hAnsi="宋体" w:eastAsia="宋体" w:cs="仿宋"/>
          <w:szCs w:val="32"/>
          <w:lang w:val="en-US" w:eastAsia="zh-CN"/>
        </w:rPr>
        <w:t xml:space="preserve">预计明年年初完成维修资金历史数据交存、支取、分摊等数据整理</w:t>
      </w:r>
      <w:r>
        <w:rPr>
          <w:rFonts w:hint="eastAsia" w:ascii="宋体" w:hAnsi="宋体" w:eastAsia="宋体" w:cs="仿宋"/>
          <w:szCs w:val="32"/>
        </w:rPr>
      </w:r>
    </w:p>
    <w:p>
      <w:pPr>
        <w:pBdr/>
        <w:spacing w:line="384" w:lineRule="auto"/>
        <w:ind w:firstLine="640"/>
        <w:rPr>
          <w:rFonts w:ascii="宋体" w:hAnsi="宋体" w:eastAsia="宋体" w:cs="仿宋"/>
          <w:color w:val="auto"/>
          <w:szCs w:val="32"/>
        </w:rPr>
      </w:pPr>
      <w:r>
        <w:rPr>
          <w:rFonts w:ascii="宋体" w:hAnsi="宋体" w:eastAsia="宋体" w:cs="仿宋"/>
          <w:szCs w:val="32"/>
        </w:rPr>
        <w:fldChar w:fldCharType="begin"/>
      </w:r>
      <w:r>
        <w:rPr>
          <w:rFonts w:ascii="宋体" w:hAnsi="宋体" w:eastAsia="宋体" w:cs="仿宋"/>
          <w:szCs w:val="32"/>
        </w:rPr>
        <w:instrText xml:space="preserve"> </w:instrText>
      </w:r>
      <w:r>
        <w:rPr>
          <w:rFonts w:hint="eastAsia" w:ascii="宋体" w:hAnsi="宋体" w:eastAsia="宋体" w:cs="仿宋"/>
          <w:szCs w:val="32"/>
        </w:rPr>
        <w:instrText xml:space="preserve">= 2 \* GB3</w:instrText>
      </w:r>
      <w:r>
        <w:rPr>
          <w:rFonts w:ascii="宋体" w:hAnsi="宋体" w:eastAsia="宋体" w:cs="仿宋"/>
          <w:szCs w:val="32"/>
        </w:rPr>
        <w:instrText xml:space="preserve"> </w:instrText>
      </w:r>
      <w:r>
        <w:rPr>
          <w:rFonts w:ascii="宋体" w:hAnsi="宋体" w:eastAsia="宋体" w:cs="仿宋"/>
          <w:szCs w:val="32"/>
        </w:rPr>
        <w:fldChar w:fldCharType="separate"/>
      </w:r>
      <w:r>
        <w:rPr>
          <w:rFonts w:hint="eastAsia" w:ascii="宋体" w:hAnsi="宋体" w:eastAsia="宋体" w:cs="仿宋"/>
          <w:szCs w:val="32"/>
        </w:rPr>
        <w:t xml:space="preserve">②</w:t>
      </w:r>
      <w:r>
        <w:rPr>
          <w:rFonts w:ascii="宋体" w:hAnsi="宋体" w:eastAsia="宋体" w:cs="仿宋"/>
          <w:szCs w:val="32"/>
        </w:rPr>
        <w:fldChar w:fldCharType="end"/>
      </w:r>
      <w:r>
        <w:rPr>
          <w:rFonts w:hint="eastAsia" w:ascii="宋体" w:hAnsi="宋体" w:eastAsia="宋体" w:cs="宋体"/>
          <w:bCs/>
          <w:color w:val="auto"/>
          <w:szCs w:val="32"/>
          <w:lang w:val="en-US" w:eastAsia="zh-CN"/>
        </w:rPr>
        <w:t xml:space="preserve">推进住房保障信息化便民利民</w:t>
      </w:r>
      <w:r>
        <w:rPr>
          <w:rFonts w:ascii="宋体" w:hAnsi="宋体" w:eastAsia="宋体" w:cs="仿宋"/>
          <w:color w:val="auto"/>
          <w:szCs w:val="32"/>
        </w:rPr>
      </w:r>
    </w:p>
    <w:p>
      <w:pPr>
        <w:pBdr/>
        <w:spacing w:line="384" w:lineRule="auto"/>
        <w:ind w:firstLine="640"/>
        <w:rPr>
          <w:rFonts w:hint="eastAsia" w:ascii="宋体" w:hAnsi="宋体" w:eastAsia="宋体" w:cs="仿宋"/>
          <w:color w:val="auto"/>
          <w:szCs w:val="32"/>
          <w:lang w:eastAsia="zh-CN"/>
        </w:rPr>
      </w:pPr>
      <w:r>
        <w:rPr>
          <w:rFonts w:hint="eastAsia" w:ascii="宋体" w:hAnsi="宋体" w:eastAsia="宋体" w:cs="仿宋"/>
          <w:color w:val="auto"/>
          <w:szCs w:val="32"/>
        </w:rPr>
        <w:t xml:space="preserve">共解决70余次系统数据、程序优化等问题</w:t>
      </w:r>
      <w:r>
        <w:rPr>
          <w:rFonts w:hint="eastAsia" w:ascii="宋体" w:hAnsi="宋体" w:eastAsia="宋体" w:cs="仿宋"/>
          <w:color w:val="auto"/>
          <w:szCs w:val="32"/>
          <w:lang w:eastAsia="zh-CN"/>
        </w:rPr>
        <w:t xml:space="preserve">；</w:t>
      </w:r>
      <w:r>
        <w:rPr>
          <w:rFonts w:hint="eastAsia" w:ascii="宋体" w:hAnsi="宋体" w:eastAsia="宋体" w:cs="仿宋"/>
          <w:color w:val="auto"/>
          <w:szCs w:val="32"/>
          <w:lang w:eastAsia="zh-CN"/>
        </w:rPr>
      </w:r>
    </w:p>
    <w:p>
      <w:pPr>
        <w:pBdr/>
        <w:spacing w:line="384" w:lineRule="auto"/>
        <w:ind w:firstLine="640"/>
        <w:rPr>
          <w:rFonts w:hint="eastAsia" w:ascii="宋体" w:hAnsi="宋体" w:eastAsia="宋体" w:cs="仿宋"/>
          <w:color w:val="auto"/>
          <w:szCs w:val="32"/>
        </w:rPr>
      </w:pPr>
      <w:r>
        <w:rPr>
          <w:rFonts w:hint="eastAsia" w:ascii="宋体" w:hAnsi="宋体" w:eastAsia="宋体" w:cs="仿宋"/>
          <w:color w:val="auto"/>
          <w:szCs w:val="32"/>
        </w:rPr>
        <w:t xml:space="preserve">解决地下车位多户多位的车位备案、资源共享平台数据交换、维修资金数据统计需求完善、历史楼盘表锁定解除、网签备案及维修资金缴存与不动产同步数据等系统问题。</w:t>
      </w:r>
      <w:r>
        <w:rPr>
          <w:rFonts w:hint="eastAsia" w:ascii="宋体" w:hAnsi="宋体" w:eastAsia="宋体" w:cs="仿宋"/>
          <w:color w:val="auto"/>
          <w:szCs w:val="32"/>
        </w:rPr>
      </w:r>
    </w:p>
    <w:p>
      <w:pPr>
        <w:pBdr/>
        <w:spacing w:line="384" w:lineRule="auto"/>
        <w:ind w:firstLine="640"/>
        <w:rPr>
          <w:rFonts w:ascii="宋体" w:hAnsi="宋体" w:eastAsia="宋体" w:cs="仿宋"/>
          <w:color w:val="auto"/>
          <w:szCs w:val="32"/>
        </w:rPr>
      </w:pPr>
      <w:r>
        <w:rPr>
          <w:rFonts w:hint="eastAsia" w:ascii="宋体" w:hAnsi="宋体" w:eastAsia="宋体" w:cs="仿宋"/>
          <w:color w:val="auto"/>
          <w:szCs w:val="32"/>
        </w:rPr>
        <w:t xml:space="preserve">预售资金监管系统目前已对接工行、建行和邮储，分别部署专用线路，建行随州分行已完成测试，可启动上线工作。</w:t>
      </w:r>
      <w:r>
        <w:rPr>
          <w:rFonts w:ascii="宋体" w:hAnsi="宋体" w:eastAsia="宋体" w:cs="仿宋"/>
          <w:color w:val="auto"/>
          <w:szCs w:val="32"/>
        </w:rPr>
      </w:r>
    </w:p>
    <w:p>
      <w:pPr>
        <w:pBdr/>
        <w:spacing w:line="384" w:lineRule="auto"/>
        <w:ind w:firstLine="640"/>
        <w:rPr>
          <w:rFonts w:ascii="宋体" w:hAnsi="宋体" w:eastAsia="宋体"/>
          <w:bCs/>
          <w:color w:val="auto"/>
          <w:szCs w:val="32"/>
        </w:rPr>
      </w:pPr>
      <w:r>
        <w:rPr>
          <w:rFonts w:ascii="宋体" w:hAnsi="宋体" w:eastAsia="宋体" w:cs="仿宋"/>
          <w:color w:val="auto"/>
          <w:szCs w:val="32"/>
        </w:rPr>
        <w:fldChar w:fldCharType="begin"/>
      </w:r>
      <w:r>
        <w:rPr>
          <w:rFonts w:ascii="宋体" w:hAnsi="宋体" w:eastAsia="宋体" w:cs="仿宋"/>
          <w:color w:val="auto"/>
          <w:szCs w:val="32"/>
        </w:rPr>
        <w:instrText xml:space="preserve"> </w:instrText>
      </w:r>
      <w:r>
        <w:rPr>
          <w:rFonts w:hint="eastAsia" w:ascii="宋体" w:hAnsi="宋体" w:eastAsia="宋体" w:cs="仿宋"/>
          <w:color w:val="auto"/>
          <w:szCs w:val="32"/>
        </w:rPr>
        <w:instrText xml:space="preserve">= 3 \* GB3</w:instrText>
      </w:r>
      <w:r>
        <w:rPr>
          <w:rFonts w:ascii="宋体" w:hAnsi="宋体" w:eastAsia="宋体" w:cs="仿宋"/>
          <w:color w:val="auto"/>
          <w:szCs w:val="32"/>
        </w:rPr>
        <w:instrText xml:space="preserve"> </w:instrText>
      </w:r>
      <w:r>
        <w:rPr>
          <w:rFonts w:ascii="宋体" w:hAnsi="宋体" w:eastAsia="宋体" w:cs="仿宋"/>
          <w:color w:val="auto"/>
          <w:szCs w:val="32"/>
        </w:rPr>
        <w:fldChar w:fldCharType="separate"/>
      </w:r>
      <w:r>
        <w:rPr>
          <w:rFonts w:hint="eastAsia" w:ascii="宋体" w:hAnsi="宋体" w:eastAsia="宋体" w:cs="仿宋"/>
          <w:color w:val="auto"/>
          <w:szCs w:val="32"/>
        </w:rPr>
        <w:t xml:space="preserve">③</w:t>
      </w:r>
      <w:r>
        <w:rPr>
          <w:rFonts w:ascii="宋体" w:hAnsi="宋体" w:eastAsia="宋体" w:cs="仿宋"/>
          <w:color w:val="auto"/>
          <w:szCs w:val="32"/>
        </w:rPr>
        <w:fldChar w:fldCharType="end"/>
      </w:r>
      <w:r>
        <w:rPr>
          <w:rFonts w:hint="eastAsia" w:ascii="宋体" w:hAnsi="宋体" w:eastAsia="宋体" w:cs="宋体"/>
          <w:bCs/>
          <w:color w:val="auto"/>
          <w:szCs w:val="32"/>
        </w:rPr>
        <w:t xml:space="preserve">推进网签备案数据与不动产登记数据对接</w:t>
      </w:r>
      <w:r>
        <w:rPr>
          <w:rFonts w:ascii="宋体" w:hAnsi="宋体" w:eastAsia="宋体"/>
          <w:bCs/>
          <w:color w:val="auto"/>
          <w:szCs w:val="32"/>
        </w:rPr>
      </w:r>
    </w:p>
    <w:p>
      <w:pPr>
        <w:pBdr/>
        <w:spacing w:line="384" w:lineRule="auto"/>
        <w:ind w:firstLine="640"/>
        <w:rPr>
          <w:rFonts w:ascii="宋体" w:hAnsi="宋体" w:eastAsia="宋体"/>
          <w:color w:val="auto"/>
          <w:szCs w:val="32"/>
        </w:rPr>
      </w:pPr>
      <w:r>
        <w:rPr>
          <w:rFonts w:hint="eastAsia" w:ascii="宋体" w:hAnsi="宋体" w:eastAsia="宋体" w:cs="仿宋"/>
          <w:color w:val="auto"/>
          <w:szCs w:val="32"/>
        </w:rPr>
        <w:t xml:space="preserve">2021年协助不动产部门共处理了网签合同备案数据同步问题约6万条，其中市辖区完善不动产需求的合同数据约5万条，随县进行合同数据推送约1万条。</w:t>
      </w:r>
      <w:r>
        <w:rPr>
          <w:rFonts w:ascii="宋体" w:hAnsi="宋体" w:eastAsia="宋体"/>
          <w:color w:val="auto"/>
          <w:szCs w:val="32"/>
        </w:rPr>
      </w:r>
    </w:p>
    <w:p>
      <w:pPr>
        <w:pBdr/>
        <w:spacing w:line="384" w:lineRule="auto"/>
        <w:ind w:firstLine="640"/>
        <w:rPr>
          <w:rFonts w:ascii="宋体" w:hAnsi="宋体" w:eastAsia="宋体"/>
          <w:color w:val="auto"/>
          <w:szCs w:val="32"/>
        </w:rPr>
      </w:pPr>
      <w:r>
        <w:rPr>
          <w:rFonts w:ascii="宋体" w:hAnsi="宋体" w:eastAsia="宋体"/>
          <w:color w:val="auto"/>
          <w:szCs w:val="32"/>
        </w:rPr>
        <w:fldChar w:fldCharType="begin"/>
      </w:r>
      <w:r>
        <w:rPr>
          <w:rFonts w:ascii="宋体" w:hAnsi="宋体" w:eastAsia="宋体"/>
          <w:color w:val="auto"/>
          <w:szCs w:val="32"/>
        </w:rPr>
        <w:instrText xml:space="preserve"> </w:instrText>
      </w:r>
      <w:r>
        <w:rPr>
          <w:rFonts w:hint="eastAsia" w:ascii="宋体" w:hAnsi="宋体" w:eastAsia="宋体"/>
          <w:color w:val="auto"/>
          <w:szCs w:val="32"/>
        </w:rPr>
        <w:instrText xml:space="preserve">= 4 \* GB3</w:instrText>
      </w:r>
      <w:r>
        <w:rPr>
          <w:rFonts w:ascii="宋体" w:hAnsi="宋体" w:eastAsia="宋体"/>
          <w:color w:val="auto"/>
          <w:szCs w:val="32"/>
        </w:rPr>
        <w:instrText xml:space="preserve"> </w:instrText>
      </w:r>
      <w:r>
        <w:rPr>
          <w:rFonts w:ascii="宋体" w:hAnsi="宋体" w:eastAsia="宋体"/>
          <w:color w:val="auto"/>
          <w:szCs w:val="32"/>
        </w:rPr>
        <w:fldChar w:fldCharType="separate"/>
      </w:r>
      <w:r>
        <w:rPr>
          <w:rFonts w:hint="eastAsia" w:ascii="宋体" w:hAnsi="宋体" w:eastAsia="宋体"/>
          <w:color w:val="auto"/>
          <w:szCs w:val="32"/>
        </w:rPr>
        <w:t xml:space="preserve">④</w:t>
      </w:r>
      <w:r>
        <w:rPr>
          <w:rFonts w:ascii="宋体" w:hAnsi="宋体" w:eastAsia="宋体"/>
          <w:color w:val="auto"/>
          <w:szCs w:val="32"/>
        </w:rPr>
        <w:fldChar w:fldCharType="end"/>
      </w:r>
      <w:r>
        <w:rPr>
          <w:rFonts w:hint="eastAsia" w:ascii="宋体" w:hAnsi="宋体" w:eastAsia="宋体" w:cs="宋体"/>
          <w:bCs/>
          <w:color w:val="auto"/>
          <w:szCs w:val="32"/>
        </w:rPr>
        <w:t xml:space="preserve">会同市房产市场所</w:t>
      </w:r>
      <w:r>
        <w:rPr>
          <w:rFonts w:hint="eastAsia" w:ascii="宋体" w:hAnsi="宋体" w:eastAsia="宋体" w:cs="宋体"/>
          <w:bCs/>
          <w:color w:val="auto"/>
          <w:szCs w:val="32"/>
          <w:lang w:eastAsia="zh-CN"/>
        </w:rPr>
        <w:t xml:space="preserve">、</w:t>
      </w:r>
      <w:r>
        <w:rPr>
          <w:rFonts w:hint="eastAsia" w:ascii="宋体" w:hAnsi="宋体" w:eastAsia="宋体" w:cs="宋体"/>
          <w:bCs/>
          <w:color w:val="auto"/>
          <w:szCs w:val="32"/>
        </w:rPr>
        <w:t xml:space="preserve">税务、不动产登记和公积金中心等部门，打通了商品房网签备案部门间的信息壁垒</w:t>
      </w:r>
      <w:r>
        <w:rPr>
          <w:rFonts w:ascii="宋体" w:hAnsi="宋体" w:eastAsia="宋体"/>
          <w:color w:val="auto"/>
          <w:szCs w:val="32"/>
        </w:rPr>
      </w:r>
    </w:p>
    <w:p>
      <w:pPr>
        <w:pBdr/>
        <w:spacing w:line="384" w:lineRule="auto"/>
        <w:ind w:firstLine="640"/>
        <w:rPr>
          <w:rFonts w:hint="eastAsia" w:ascii="宋体" w:hAnsi="宋体" w:eastAsia="宋体"/>
          <w:color w:val="auto"/>
          <w:szCs w:val="32"/>
          <w:lang w:val="en-US" w:eastAsia="zh-CN"/>
        </w:rPr>
      </w:pPr>
      <w:r>
        <w:rPr>
          <w:rFonts w:hint="eastAsia" w:ascii="宋体" w:hAnsi="宋体" w:eastAsia="宋体"/>
          <w:color w:val="auto"/>
          <w:szCs w:val="32"/>
          <w:lang w:val="en-US" w:eastAsia="zh-CN"/>
        </w:rPr>
        <w:t xml:space="preserve">全面实现了商品房网签备案信息实时共享，提供材料由原5份减少至2份，大大方便了广大购房业主。</w:t>
      </w:r>
      <w:r>
        <w:rPr>
          <w:rFonts w:hint="eastAsia" w:ascii="宋体" w:hAnsi="宋体" w:eastAsia="宋体"/>
          <w:color w:val="auto"/>
          <w:szCs w:val="32"/>
          <w:lang w:val="en-US" w:eastAsia="zh-CN"/>
        </w:rPr>
      </w:r>
    </w:p>
    <w:p>
      <w:pPr>
        <w:pBdr/>
        <w:spacing w:line="384" w:lineRule="auto"/>
        <w:ind w:firstLine="640"/>
        <w:rPr>
          <w:rFonts w:ascii="宋体" w:hAnsi="宋体" w:eastAsia="宋体"/>
          <w:bCs/>
          <w:color w:val="auto"/>
          <w:szCs w:val="32"/>
        </w:rPr>
      </w:pPr>
      <w:r>
        <w:rPr>
          <w:rFonts w:ascii="宋体" w:hAnsi="宋体" w:eastAsia="宋体"/>
          <w:bCs/>
          <w:color w:val="auto"/>
          <w:szCs w:val="32"/>
        </w:rPr>
        <w:fldChar w:fldCharType="begin"/>
      </w:r>
      <w:r>
        <w:rPr>
          <w:rFonts w:ascii="宋体" w:hAnsi="宋体" w:eastAsia="宋体"/>
          <w:bCs/>
          <w:color w:val="auto"/>
          <w:szCs w:val="32"/>
        </w:rPr>
        <w:instrText xml:space="preserve"> </w:instrText>
      </w:r>
      <w:r>
        <w:rPr>
          <w:rFonts w:hint="eastAsia" w:ascii="宋体" w:hAnsi="宋体" w:eastAsia="宋体"/>
          <w:bCs/>
          <w:color w:val="auto"/>
          <w:szCs w:val="32"/>
        </w:rPr>
        <w:instrText xml:space="preserve">= 5 \* GB3</w:instrText>
      </w:r>
      <w:r>
        <w:rPr>
          <w:rFonts w:ascii="宋体" w:hAnsi="宋体" w:eastAsia="宋体"/>
          <w:bCs/>
          <w:color w:val="auto"/>
          <w:szCs w:val="32"/>
        </w:rPr>
        <w:instrText xml:space="preserve"> </w:instrText>
      </w:r>
      <w:r>
        <w:rPr>
          <w:rFonts w:ascii="宋体" w:hAnsi="宋体" w:eastAsia="宋体"/>
          <w:bCs/>
          <w:color w:val="auto"/>
          <w:szCs w:val="32"/>
        </w:rPr>
        <w:fldChar w:fldCharType="separate"/>
      </w:r>
      <w:r>
        <w:rPr>
          <w:rFonts w:hint="eastAsia" w:ascii="宋体" w:hAnsi="宋体" w:eastAsia="宋体"/>
          <w:bCs/>
          <w:color w:val="auto"/>
          <w:szCs w:val="32"/>
        </w:rPr>
        <w:t xml:space="preserve">⑤</w:t>
      </w:r>
      <w:r>
        <w:rPr>
          <w:rFonts w:ascii="宋体" w:hAnsi="宋体" w:eastAsia="宋体"/>
          <w:bCs/>
          <w:color w:val="auto"/>
          <w:szCs w:val="32"/>
        </w:rPr>
        <w:fldChar w:fldCharType="end"/>
      </w:r>
      <w:r>
        <w:rPr>
          <w:rFonts w:hint="eastAsia" w:ascii="宋体" w:hAnsi="宋体" w:eastAsia="宋体" w:cs="宋体"/>
          <w:bCs/>
          <w:color w:val="auto"/>
          <w:szCs w:val="32"/>
        </w:rPr>
        <w:t xml:space="preserve">落实“互联网+政务服务”要求</w:t>
      </w:r>
      <w:r>
        <w:rPr>
          <w:rFonts w:ascii="宋体" w:hAnsi="宋体" w:eastAsia="宋体"/>
          <w:bCs/>
          <w:color w:val="auto"/>
          <w:szCs w:val="32"/>
        </w:rPr>
      </w:r>
    </w:p>
    <w:p>
      <w:pPr>
        <w:pBdr/>
        <w:spacing w:line="384" w:lineRule="auto"/>
        <w:ind w:firstLine="640"/>
        <w:rPr>
          <w:rFonts w:ascii="宋体" w:hAnsi="宋体" w:eastAsia="宋体"/>
          <w:bCs/>
          <w:color w:val="auto"/>
          <w:szCs w:val="32"/>
        </w:rPr>
      </w:pPr>
      <w:r>
        <w:rPr>
          <w:rFonts w:hint="eastAsia" w:ascii="宋体" w:hAnsi="宋体" w:eastAsia="宋体"/>
          <w:bCs/>
          <w:color w:val="auto"/>
          <w:szCs w:val="32"/>
          <w:lang w:val="en-US" w:eastAsia="zh-CN"/>
        </w:rPr>
        <w:t xml:space="preserve">按照《“鄂汇办”2021年能力提升工作方案》（鄂政办发〔2021〕16号）考核要求，已实现四个网上办件服务事项的查询，其中包括商品房预售许可、网签合同备案、住保资格审核和住保状态移动端查询功能。</w:t>
      </w:r>
      <w:r>
        <w:rPr>
          <w:rFonts w:ascii="宋体" w:hAnsi="宋体" w:eastAsia="宋体"/>
          <w:bCs/>
          <w:color w:val="auto"/>
          <w:szCs w:val="32"/>
        </w:rPr>
      </w:r>
    </w:p>
    <w:p>
      <w:pPr>
        <w:pBdr/>
        <w:spacing w:line="384" w:lineRule="auto"/>
        <w:ind w:firstLine="640"/>
        <w:rPr>
          <w:rFonts w:ascii="宋体" w:hAnsi="宋体" w:eastAsia="宋体"/>
          <w:bCs/>
          <w:color w:val="auto"/>
          <w:szCs w:val="32"/>
        </w:rPr>
      </w:pPr>
      <w:r>
        <w:rPr>
          <w:rFonts w:ascii="宋体" w:hAnsi="宋体" w:eastAsia="宋体" w:cs="仿宋"/>
          <w:color w:val="auto"/>
          <w:szCs w:val="32"/>
        </w:rPr>
        <w:fldChar w:fldCharType="begin"/>
      </w:r>
      <w:r>
        <w:rPr>
          <w:rFonts w:ascii="宋体" w:hAnsi="宋体" w:eastAsia="宋体" w:cs="仿宋"/>
          <w:color w:val="auto"/>
          <w:szCs w:val="32"/>
        </w:rPr>
        <w:instrText xml:space="preserve"> </w:instrText>
      </w:r>
      <w:r>
        <w:rPr>
          <w:rFonts w:hint="eastAsia" w:ascii="宋体" w:hAnsi="宋体" w:eastAsia="宋体" w:cs="仿宋"/>
          <w:color w:val="auto"/>
          <w:szCs w:val="32"/>
        </w:rPr>
        <w:instrText xml:space="preserve">= 6 \* GB3</w:instrText>
      </w:r>
      <w:r>
        <w:rPr>
          <w:rFonts w:ascii="宋体" w:hAnsi="宋体" w:eastAsia="宋体" w:cs="仿宋"/>
          <w:color w:val="auto"/>
          <w:szCs w:val="32"/>
        </w:rPr>
        <w:instrText xml:space="preserve"> </w:instrText>
      </w:r>
      <w:r>
        <w:rPr>
          <w:rFonts w:ascii="宋体" w:hAnsi="宋体" w:eastAsia="宋体" w:cs="仿宋"/>
          <w:color w:val="auto"/>
          <w:szCs w:val="32"/>
        </w:rPr>
        <w:fldChar w:fldCharType="separate"/>
      </w:r>
      <w:r>
        <w:rPr>
          <w:rFonts w:hint="eastAsia" w:ascii="宋体" w:hAnsi="宋体" w:eastAsia="宋体" w:cs="仿宋"/>
          <w:color w:val="auto"/>
          <w:szCs w:val="32"/>
        </w:rPr>
        <w:t xml:space="preserve">⑥</w:t>
      </w:r>
      <w:r>
        <w:rPr>
          <w:rFonts w:ascii="宋体" w:hAnsi="宋体" w:eastAsia="宋体" w:cs="仿宋"/>
          <w:color w:val="auto"/>
          <w:szCs w:val="32"/>
        </w:rPr>
        <w:fldChar w:fldCharType="end"/>
      </w:r>
      <w:r>
        <w:rPr>
          <w:rFonts w:hint="eastAsia" w:ascii="宋体" w:hAnsi="宋体" w:eastAsia="宋体" w:cs="仿宋"/>
          <w:color w:val="auto"/>
          <w:szCs w:val="32"/>
        </w:rPr>
        <w:t xml:space="preserve">落实领导干部房产查核</w:t>
      </w:r>
      <w:r>
        <w:rPr>
          <w:rFonts w:ascii="宋体" w:hAnsi="宋体" w:eastAsia="宋体"/>
          <w:bCs/>
          <w:color w:val="auto"/>
          <w:szCs w:val="32"/>
        </w:rPr>
      </w:r>
    </w:p>
    <w:p>
      <w:pPr>
        <w:pBdr/>
        <w:spacing w:line="384" w:lineRule="auto"/>
        <w:ind w:firstLine="640"/>
        <w:rPr>
          <w:rFonts w:hint="eastAsia" w:ascii="宋体" w:hAnsi="宋体" w:eastAsia="宋体" w:cs="仿宋"/>
          <w:color w:val="auto"/>
          <w:szCs w:val="32"/>
        </w:rPr>
      </w:pPr>
      <w:r>
        <w:rPr>
          <w:rFonts w:hint="eastAsia" w:ascii="宋体" w:hAnsi="宋体" w:eastAsia="宋体" w:cs="仿宋"/>
          <w:color w:val="auto"/>
          <w:szCs w:val="32"/>
        </w:rPr>
        <w:t xml:space="preserve">完成领导干部个人住房查核236批次，查核人数4529人次，全部按时完成查核任务。</w:t>
      </w:r>
      <w:r>
        <w:rPr>
          <w:rFonts w:hint="eastAsia" w:ascii="宋体" w:hAnsi="宋体" w:eastAsia="宋体" w:cs="仿宋"/>
          <w:color w:val="auto"/>
          <w:szCs w:val="32"/>
        </w:rPr>
      </w:r>
    </w:p>
    <w:p>
      <w:pPr>
        <w:pBdr/>
        <w:spacing w:line="384" w:lineRule="auto"/>
        <w:ind w:firstLine="640"/>
        <w:rPr>
          <w:rFonts w:ascii="宋体" w:hAnsi="宋体" w:eastAsia="宋体"/>
          <w:bCs/>
          <w:color w:val="auto"/>
          <w:szCs w:val="32"/>
        </w:rPr>
      </w:pPr>
      <w:r>
        <w:rPr>
          <w:rFonts w:ascii="宋体" w:hAnsi="宋体" w:eastAsia="宋体" w:cs="仿宋"/>
          <w:color w:val="auto"/>
          <w:szCs w:val="32"/>
        </w:rPr>
        <w:fldChar w:fldCharType="begin"/>
      </w:r>
      <w:r>
        <w:rPr>
          <w:rFonts w:ascii="宋体" w:hAnsi="宋体" w:eastAsia="宋体" w:cs="仿宋"/>
          <w:color w:val="auto"/>
          <w:szCs w:val="32"/>
        </w:rPr>
        <w:instrText xml:space="preserve"> </w:instrText>
      </w:r>
      <w:r>
        <w:rPr>
          <w:rFonts w:hint="eastAsia" w:ascii="宋体" w:hAnsi="宋体" w:eastAsia="宋体" w:cs="仿宋"/>
          <w:color w:val="auto"/>
          <w:szCs w:val="32"/>
        </w:rPr>
        <w:instrText xml:space="preserve">= 7 \* GB3</w:instrText>
      </w:r>
      <w:r>
        <w:rPr>
          <w:rFonts w:ascii="宋体" w:hAnsi="宋体" w:eastAsia="宋体" w:cs="仿宋"/>
          <w:color w:val="auto"/>
          <w:szCs w:val="32"/>
        </w:rPr>
        <w:instrText xml:space="preserve"> </w:instrText>
      </w:r>
      <w:r>
        <w:rPr>
          <w:rFonts w:ascii="宋体" w:hAnsi="宋体" w:eastAsia="宋体" w:cs="仿宋"/>
          <w:color w:val="auto"/>
          <w:szCs w:val="32"/>
        </w:rPr>
        <w:fldChar w:fldCharType="separate"/>
      </w:r>
      <w:r>
        <w:rPr>
          <w:rFonts w:hint="eastAsia" w:ascii="宋体" w:hAnsi="宋体" w:eastAsia="宋体" w:cs="仿宋"/>
          <w:color w:val="auto"/>
          <w:szCs w:val="32"/>
        </w:rPr>
        <w:t xml:space="preserve">⑦</w:t>
      </w:r>
      <w:r>
        <w:rPr>
          <w:rFonts w:ascii="宋体" w:hAnsi="宋体" w:eastAsia="宋体" w:cs="仿宋"/>
          <w:color w:val="auto"/>
          <w:szCs w:val="32"/>
        </w:rPr>
        <w:fldChar w:fldCharType="end"/>
      </w:r>
      <w:r>
        <w:rPr>
          <w:rFonts w:hint="eastAsia" w:ascii="宋体" w:hAnsi="宋体" w:eastAsia="宋体" w:cs="仿宋"/>
          <w:color w:val="auto"/>
          <w:szCs w:val="32"/>
        </w:rPr>
        <w:t xml:space="preserve">初步建成智慧排水信息系统</w:t>
      </w:r>
      <w:r>
        <w:rPr>
          <w:rFonts w:ascii="宋体" w:hAnsi="宋体" w:eastAsia="宋体"/>
          <w:bCs/>
          <w:color w:val="auto"/>
          <w:szCs w:val="32"/>
        </w:rPr>
      </w:r>
    </w:p>
    <w:p>
      <w:pPr>
        <w:pBdr/>
        <w:spacing w:line="384" w:lineRule="auto"/>
        <w:ind w:firstLine="640"/>
        <w:rPr>
          <w:rFonts w:hint="eastAsia" w:ascii="宋体" w:hAnsi="宋体" w:eastAsia="宋体" w:cs="仿宋"/>
          <w:szCs w:val="32"/>
        </w:rPr>
      </w:pPr>
      <w:r>
        <w:rPr>
          <w:rFonts w:hint="eastAsia" w:ascii="宋体" w:hAnsi="宋体" w:eastAsia="宋体" w:cs="仿宋"/>
          <w:color w:val="auto"/>
          <w:szCs w:val="32"/>
          <w:lang w:val="en-US" w:eastAsia="zh-CN"/>
        </w:rPr>
        <w:t xml:space="preserve">建立视频数据监测、污水厂数据采集、排水管</w:t>
      </w:r>
      <w:r>
        <w:rPr>
          <w:rFonts w:hint="eastAsia" w:ascii="宋体" w:hAnsi="宋体" w:eastAsia="宋体" w:cs="仿宋"/>
          <w:szCs w:val="32"/>
          <w:lang w:val="en-US" w:eastAsia="zh-CN"/>
        </w:rPr>
        <w:t xml:space="preserve">理及其他泵站数据采集和接入、井盖安全监测等全方位排水污水监测预警体系。</w:t>
      </w:r>
      <w:r>
        <w:rPr>
          <w:rFonts w:hint="eastAsia" w:ascii="宋体" w:hAnsi="宋体" w:eastAsia="宋体" w:cs="仿宋"/>
          <w:szCs w:val="32"/>
        </w:rPr>
        <w:t xml:space="preserve">已完成约500公里排水管网普查工作，实现40公里的CCTV管道检测工作，对接气象局数据，下一步打造排水污水管理指挥中心。</w:t>
      </w:r>
      <w:r>
        <w:rPr>
          <w:rFonts w:hint="eastAsia" w:ascii="宋体" w:hAnsi="宋体" w:eastAsia="宋体" w:cs="仿宋"/>
          <w:szCs w:val="32"/>
        </w:rPr>
      </w:r>
    </w:p>
    <w:p>
      <w:pPr>
        <w:pBdr/>
        <w:spacing w:line="384" w:lineRule="auto"/>
        <w:ind w:firstLine="640"/>
        <w:rPr>
          <w:rFonts w:ascii="宋体" w:hAnsi="宋体" w:eastAsia="宋体"/>
          <w:bCs/>
          <w:szCs w:val="32"/>
          <w:lang w:val="zh-CN"/>
        </w:rPr>
      </w:pPr>
      <w:r>
        <w:rPr>
          <w:rFonts w:ascii="宋体" w:hAnsi="宋体" w:eastAsia="宋体" w:cs="仿宋"/>
          <w:szCs w:val="32"/>
        </w:rPr>
        <w:fldChar w:fldCharType="begin"/>
      </w:r>
      <w:r>
        <w:rPr>
          <w:rFonts w:ascii="宋体" w:hAnsi="宋体" w:eastAsia="宋体" w:cs="仿宋"/>
          <w:szCs w:val="32"/>
        </w:rPr>
        <w:instrText xml:space="preserve"> </w:instrText>
      </w:r>
      <w:r>
        <w:rPr>
          <w:rFonts w:hint="eastAsia" w:ascii="宋体" w:hAnsi="宋体" w:eastAsia="宋体" w:cs="仿宋"/>
          <w:szCs w:val="32"/>
        </w:rPr>
        <w:instrText xml:space="preserve">= 8 \* GB3</w:instrText>
      </w:r>
      <w:r>
        <w:rPr>
          <w:rFonts w:ascii="宋体" w:hAnsi="宋体" w:eastAsia="宋体" w:cs="仿宋"/>
          <w:szCs w:val="32"/>
        </w:rPr>
        <w:instrText xml:space="preserve"> </w:instrText>
      </w:r>
      <w:r>
        <w:rPr>
          <w:rFonts w:ascii="宋体" w:hAnsi="宋体" w:eastAsia="宋体" w:cs="仿宋"/>
          <w:szCs w:val="32"/>
        </w:rPr>
        <w:fldChar w:fldCharType="separate"/>
      </w:r>
      <w:r>
        <w:rPr>
          <w:rFonts w:hint="eastAsia" w:ascii="宋体" w:hAnsi="宋体" w:eastAsia="宋体" w:cs="仿宋"/>
          <w:szCs w:val="32"/>
        </w:rPr>
        <w:t xml:space="preserve">⑧</w:t>
      </w:r>
      <w:r>
        <w:rPr>
          <w:rFonts w:ascii="宋体" w:hAnsi="宋体" w:eastAsia="宋体" w:cs="仿宋"/>
          <w:szCs w:val="32"/>
        </w:rPr>
        <w:fldChar w:fldCharType="end"/>
      </w:r>
      <w:r>
        <w:rPr>
          <w:rFonts w:hint="eastAsia" w:ascii="宋体" w:hAnsi="宋体" w:eastAsia="宋体"/>
          <w:bCs/>
          <w:szCs w:val="32"/>
          <w:lang w:val="zh-CN"/>
        </w:rPr>
        <w:t xml:space="preserve">加强信息宣传，擦亮住建信息化“新名片”</w:t>
      </w:r>
      <w:r>
        <w:rPr>
          <w:rFonts w:ascii="宋体" w:hAnsi="宋体" w:eastAsia="宋体"/>
          <w:bCs/>
          <w:szCs w:val="32"/>
          <w:lang w:val="zh-CN"/>
        </w:rPr>
      </w:r>
    </w:p>
    <w:p>
      <w:pPr>
        <w:pBdr/>
        <w:spacing w:line="384" w:lineRule="auto"/>
        <w:ind w:firstLine="640"/>
        <w:rPr>
          <w:rFonts w:hint="eastAsia" w:ascii="宋体" w:hAnsi="宋体" w:eastAsia="宋体"/>
          <w:bCs/>
          <w:szCs w:val="32"/>
          <w:lang w:eastAsia="zh-CN"/>
        </w:rPr>
      </w:pPr>
      <w:r>
        <w:rPr>
          <w:rFonts w:hint="eastAsia" w:ascii="宋体" w:hAnsi="宋体" w:eastAsia="宋体"/>
          <w:bCs/>
          <w:szCs w:val="32"/>
          <w:lang w:eastAsia="zh-CN"/>
        </w:rPr>
        <w:t xml:space="preserve">全年被</w:t>
      </w:r>
      <w:r>
        <w:rPr>
          <w:rFonts w:hint="eastAsia" w:ascii="宋体" w:hAnsi="宋体" w:eastAsia="宋体"/>
          <w:bCs/>
          <w:szCs w:val="32"/>
        </w:rPr>
        <w:t xml:space="preserve">随州日报采用1篇，住建公众号采用3篇，住建厅采用1篇，住建信息采用1篇</w:t>
      </w:r>
      <w:r>
        <w:rPr>
          <w:rFonts w:hint="eastAsia" w:ascii="宋体" w:hAnsi="宋体" w:eastAsia="宋体"/>
          <w:bCs/>
          <w:szCs w:val="32"/>
          <w:lang w:eastAsia="zh-CN"/>
        </w:rPr>
        <w:t xml:space="preserve">，树立了中心对外良好形象。</w:t>
      </w:r>
      <w:r>
        <w:rPr>
          <w:rFonts w:hint="eastAsia" w:ascii="宋体" w:hAnsi="宋体" w:eastAsia="宋体"/>
          <w:bCs/>
          <w:szCs w:val="32"/>
          <w:lang w:eastAsia="zh-CN"/>
        </w:rPr>
      </w:r>
    </w:p>
    <w:p>
      <w:pPr>
        <w:pBdr/>
        <w:spacing w:line="384" w:lineRule="auto"/>
        <w:ind w:firstLine="640"/>
        <w:rPr>
          <w:rFonts w:hint="eastAsia" w:ascii="宋体" w:hAnsi="宋体" w:eastAsia="宋体" w:cs="仿宋"/>
          <w:szCs w:val="32"/>
          <w:lang w:eastAsia="zh-CN"/>
        </w:rPr>
      </w:pPr>
      <w:r>
        <w:rPr>
          <w:rFonts w:hint="eastAsia" w:ascii="宋体" w:hAnsi="宋体" w:eastAsia="宋体"/>
          <w:bCs/>
          <w:color w:val="ff0000"/>
          <w:szCs w:val="32"/>
          <w:lang w:val="zh-CN"/>
        </w:rPr>
        <w:fldChar w:fldCharType="begin"/>
      </w:r>
      <w:r>
        <w:rPr>
          <w:rFonts w:hint="eastAsia" w:ascii="宋体" w:hAnsi="宋体" w:eastAsia="宋体"/>
          <w:bCs/>
          <w:color w:val="ff0000"/>
          <w:szCs w:val="32"/>
          <w:lang w:val="zh-CN"/>
        </w:rPr>
        <w:instrText xml:space="preserve"> = 9 \* GB3 \* MERGEFORMAT </w:instrText>
      </w:r>
      <w:r>
        <w:rPr>
          <w:rFonts w:hint="eastAsia" w:ascii="宋体" w:hAnsi="宋体" w:eastAsia="宋体"/>
          <w:bCs/>
          <w:color w:val="ff0000"/>
          <w:szCs w:val="32"/>
          <w:lang w:val="zh-CN"/>
        </w:rPr>
        <w:fldChar w:fldCharType="separate"/>
      </w:r>
      <w:r>
        <w:t xml:space="preserve">⑨</w:t>
      </w:r>
      <w:r>
        <w:rPr>
          <w:rFonts w:hint="eastAsia" w:ascii="宋体" w:hAnsi="宋体" w:eastAsia="宋体"/>
          <w:bCs/>
          <w:color w:val="ff0000"/>
          <w:szCs w:val="32"/>
          <w:lang w:val="zh-CN"/>
        </w:rPr>
        <w:fldChar w:fldCharType="end"/>
      </w:r>
      <w:r>
        <w:rPr>
          <w:rFonts w:hint="eastAsia" w:ascii="宋体" w:hAnsi="宋体" w:eastAsia="宋体" w:cs="仿宋"/>
          <w:szCs w:val="32"/>
        </w:rPr>
        <w:t xml:space="preserve">切实解决群众关心关注的焦点问题，立案查处</w:t>
      </w:r>
      <w:r>
        <w:rPr>
          <w:rFonts w:hint="eastAsia" w:ascii="宋体" w:hAnsi="宋体" w:eastAsia="宋体" w:cs="仿宋"/>
          <w:szCs w:val="32"/>
          <w:lang w:eastAsia="zh-CN"/>
        </w:rPr>
        <w:t xml:space="preserve">违规违纪行为</w:t>
      </w:r>
      <w:r>
        <w:rPr>
          <w:rFonts w:hint="eastAsia" w:ascii="宋体" w:hAnsi="宋体" w:eastAsia="宋体" w:cs="仿宋"/>
          <w:szCs w:val="32"/>
          <w:lang w:eastAsia="zh-CN"/>
        </w:rPr>
      </w:r>
    </w:p>
    <w:p>
      <w:pPr>
        <w:pBdr/>
        <w:spacing w:line="384" w:lineRule="auto"/>
        <w:ind w:firstLine="640"/>
        <w:rPr>
          <w:rFonts w:hint="eastAsia" w:ascii="宋体" w:hAnsi="宋体" w:eastAsia="宋体" w:cs="仿宋"/>
          <w:szCs w:val="32"/>
          <w:lang w:val="en-US" w:eastAsia="zh-CN"/>
        </w:rPr>
      </w:pPr>
      <w:r>
        <w:rPr>
          <w:rFonts w:hint="eastAsia" w:ascii="宋体" w:hAnsi="宋体" w:eastAsia="宋体" w:cs="仿宋"/>
          <w:szCs w:val="32"/>
          <w:lang w:val="en-US" w:eastAsia="zh-CN"/>
        </w:rPr>
        <w:t xml:space="preserve">立案查处质量安全、物业管理等违法违规行为项目13个，处罚违法违规建筑业企业11家、房地产企业8家、物业企业1家、项目负责人11人，净化市场秩序，营造公平公正、竞争有序的市场环境。</w:t>
      </w:r>
      <w:r>
        <w:rPr>
          <w:rFonts w:hint="eastAsia" w:ascii="宋体" w:hAnsi="宋体" w:eastAsia="宋体" w:cs="仿宋"/>
          <w:szCs w:val="32"/>
          <w:lang w:val="en-US" w:eastAsia="zh-CN"/>
        </w:rPr>
      </w:r>
    </w:p>
    <w:p>
      <w:pPr>
        <w:pBdr/>
        <w:spacing w:line="384" w:lineRule="auto"/>
        <w:ind w:firstLine="640"/>
        <w:rPr>
          <w:rFonts w:hint="eastAsia" w:ascii="宋体" w:hAnsi="宋体" w:eastAsia="宋体" w:cs="仿宋"/>
          <w:szCs w:val="32"/>
          <w:lang w:eastAsia="zh-CN"/>
        </w:rPr>
      </w:pPr>
      <w:r>
        <w:rPr>
          <w:rFonts w:hint="eastAsia" w:ascii="宋体" w:hAnsi="宋体" w:eastAsia="宋体" w:cs="仿宋"/>
          <w:szCs w:val="32"/>
          <w:lang w:val="en-US" w:eastAsia="zh-CN"/>
        </w:rPr>
        <w:t xml:space="preserve">开展营商环境规范性文件清理，清理审查以市住建局名义印发的现行有效行政规范性文件18件，提出修改意见9件。</w:t>
      </w:r>
      <w:r>
        <w:rPr>
          <w:rFonts w:hint="eastAsia" w:ascii="宋体" w:hAnsi="宋体" w:eastAsia="宋体" w:cs="仿宋"/>
          <w:szCs w:val="32"/>
          <w:lang w:eastAsia="zh-CN"/>
        </w:rPr>
      </w:r>
    </w:p>
    <w:p>
      <w:pPr>
        <w:pBdr/>
        <w:spacing w:line="384" w:lineRule="auto"/>
        <w:ind w:firstLine="640"/>
        <w:rPr>
          <w:rFonts w:ascii="宋体" w:hAnsi="宋体" w:eastAsia="宋体" w:cs="仿宋"/>
          <w:szCs w:val="32"/>
        </w:rPr>
      </w:pPr>
      <w:r>
        <w:rPr>
          <w:rFonts w:ascii="宋体" w:hAnsi="宋体" w:eastAsia="宋体"/>
          <w:szCs w:val="32"/>
        </w:rPr>
        <w:t xml:space="preserve">（2）效益指标完成情况分析</w:t>
      </w:r>
      <w:r>
        <w:rPr>
          <w:rFonts w:ascii="宋体" w:hAnsi="宋体" w:eastAsia="宋体" w:cs="仿宋"/>
          <w:szCs w:val="32"/>
        </w:rPr>
      </w:r>
    </w:p>
    <w:p>
      <w:pPr>
        <w:pBdr/>
        <w:spacing w:line="384" w:lineRule="auto"/>
        <w:ind w:firstLine="640"/>
        <w:rPr>
          <w:rFonts w:hint="eastAsia" w:ascii="宋体" w:hAnsi="宋体" w:eastAsia="宋体"/>
          <w:szCs w:val="32"/>
          <w:lang w:val="en-US" w:eastAsia="zh-CN"/>
        </w:rPr>
      </w:pPr>
      <w:r>
        <w:rPr>
          <w:rFonts w:hint="eastAsia" w:ascii="宋体" w:hAnsi="宋体" w:eastAsia="宋体"/>
          <w:szCs w:val="32"/>
        </w:rPr>
        <w:t xml:space="preserve"> 推进网签备案数据与不动产登记数据对接</w:t>
      </w:r>
      <w:r>
        <w:rPr>
          <w:rFonts w:hint="eastAsia" w:ascii="宋体" w:hAnsi="宋体" w:eastAsia="宋体"/>
          <w:szCs w:val="32"/>
          <w:lang w:eastAsia="zh-CN"/>
        </w:rPr>
        <w:t xml:space="preserve">，</w:t>
      </w:r>
      <w:r>
        <w:rPr>
          <w:rFonts w:hint="eastAsia" w:ascii="宋体" w:hAnsi="宋体" w:eastAsia="宋体"/>
          <w:szCs w:val="32"/>
          <w:lang w:val="en-US" w:eastAsia="zh-CN"/>
        </w:rPr>
        <w:t xml:space="preserve">实现业务的连贯性，提高房屋交易与不动产登记之间信息传递效率，避免办事群众往返跑和重复提交资料，保障了房屋交易的安全性。</w:t>
      </w:r>
      <w:r>
        <w:rPr>
          <w:rFonts w:hint="eastAsia" w:ascii="宋体" w:hAnsi="宋体" w:eastAsia="宋体"/>
          <w:szCs w:val="32"/>
          <w:lang w:val="en-US" w:eastAsia="zh-CN"/>
        </w:rPr>
      </w:r>
    </w:p>
    <w:p>
      <w:pPr>
        <w:pBdr/>
        <w:spacing w:line="384" w:lineRule="auto"/>
        <w:ind w:firstLine="640"/>
        <w:rPr>
          <w:rFonts w:ascii="宋体" w:hAnsi="宋体" w:eastAsia="宋体" w:cs="仿宋"/>
          <w:szCs w:val="32"/>
        </w:rPr>
      </w:pPr>
      <w:r>
        <w:rPr>
          <w:rFonts w:ascii="宋体" w:hAnsi="宋体" w:eastAsia="宋体"/>
          <w:szCs w:val="32"/>
        </w:rPr>
        <w:t xml:space="preserve">（3）满意度指标完成情况分析</w:t>
      </w:r>
      <w:r>
        <w:rPr>
          <w:rFonts w:ascii="宋体" w:hAnsi="宋体" w:eastAsia="宋体" w:cs="仿宋"/>
          <w:szCs w:val="32"/>
        </w:rPr>
      </w:r>
    </w:p>
    <w:p>
      <w:pPr>
        <w:pBdr/>
        <w:spacing w:line="384" w:lineRule="auto"/>
        <w:ind w:firstLine="640"/>
        <w:rPr>
          <w:rFonts w:ascii="宋体" w:hAnsi="宋体" w:eastAsia="宋体"/>
          <w:bCs/>
          <w:szCs w:val="32"/>
        </w:rPr>
      </w:pPr>
      <w:r>
        <w:rPr>
          <w:rFonts w:ascii="宋体" w:hAnsi="宋体" w:eastAsia="宋体"/>
          <w:bCs/>
          <w:szCs w:val="32"/>
        </w:rPr>
        <w:fldChar w:fldCharType="begin"/>
      </w:r>
      <w:r>
        <w:rPr>
          <w:rFonts w:ascii="宋体" w:hAnsi="宋体" w:eastAsia="宋体"/>
          <w:bCs/>
          <w:szCs w:val="32"/>
        </w:rPr>
        <w:instrText xml:space="preserve"> </w:instrText>
      </w:r>
      <w:r>
        <w:rPr>
          <w:rFonts w:hint="eastAsia" w:ascii="宋体" w:hAnsi="宋体" w:eastAsia="宋体"/>
          <w:bCs/>
          <w:szCs w:val="32"/>
        </w:rPr>
        <w:instrText xml:space="preserve">= 1 \* GB3</w:instrText>
      </w:r>
      <w:r>
        <w:rPr>
          <w:rFonts w:ascii="宋体" w:hAnsi="宋体" w:eastAsia="宋体"/>
          <w:bCs/>
          <w:szCs w:val="32"/>
        </w:rPr>
        <w:instrText xml:space="preserve"> </w:instrText>
      </w:r>
      <w:r>
        <w:rPr>
          <w:rFonts w:ascii="宋体" w:hAnsi="宋体" w:eastAsia="宋体"/>
          <w:bCs/>
          <w:szCs w:val="32"/>
        </w:rPr>
        <w:fldChar w:fldCharType="separate"/>
      </w:r>
      <w:r>
        <w:rPr>
          <w:rFonts w:hint="eastAsia" w:ascii="宋体" w:hAnsi="宋体" w:eastAsia="宋体"/>
          <w:bCs/>
          <w:szCs w:val="32"/>
        </w:rPr>
        <w:t xml:space="preserve">①</w:t>
      </w:r>
      <w:r>
        <w:rPr>
          <w:rFonts w:ascii="宋体" w:hAnsi="宋体" w:eastAsia="宋体"/>
          <w:bCs/>
          <w:szCs w:val="32"/>
        </w:rPr>
        <w:fldChar w:fldCharType="end"/>
      </w:r>
      <w:r>
        <w:rPr>
          <w:rFonts w:hint="eastAsia" w:ascii="宋体" w:hAnsi="宋体" w:eastAsia="宋体"/>
          <w:bCs/>
          <w:szCs w:val="32"/>
          <w:lang w:val="en-US" w:eastAsia="zh-CN"/>
        </w:rPr>
        <w:t xml:space="preserve">对住建房产部门网上办件服务事项进行适应性改造，对接“鄂汇办”，实现移动端办理功能，便民利民，提高群众满意度。</w:t>
      </w:r>
      <w:r>
        <w:rPr>
          <w:rFonts w:ascii="宋体" w:hAnsi="宋体" w:eastAsia="宋体"/>
          <w:bCs/>
          <w:szCs w:val="32"/>
        </w:rPr>
      </w:r>
    </w:p>
    <w:p>
      <w:pPr>
        <w:pBdr/>
        <w:spacing w:line="384" w:lineRule="auto"/>
        <w:ind w:firstLine="640"/>
        <w:rPr>
          <w:rFonts w:ascii="宋体" w:hAnsi="宋体" w:eastAsia="宋体"/>
          <w:bCs/>
          <w:szCs w:val="32"/>
        </w:rPr>
      </w:pPr>
      <w:r>
        <w:rPr>
          <w:rFonts w:ascii="宋体" w:hAnsi="宋体" w:eastAsia="宋体"/>
          <w:bCs/>
          <w:szCs w:val="32"/>
        </w:rPr>
        <w:fldChar w:fldCharType="begin"/>
      </w:r>
      <w:r>
        <w:rPr>
          <w:rFonts w:ascii="宋体" w:hAnsi="宋体" w:eastAsia="宋体"/>
          <w:bCs/>
          <w:szCs w:val="32"/>
        </w:rPr>
        <w:instrText xml:space="preserve"> </w:instrText>
      </w:r>
      <w:r>
        <w:rPr>
          <w:rFonts w:hint="eastAsia" w:ascii="宋体" w:hAnsi="宋体" w:eastAsia="宋体"/>
          <w:bCs/>
          <w:szCs w:val="32"/>
        </w:rPr>
        <w:instrText xml:space="preserve">= 2 \* GB3</w:instrText>
      </w:r>
      <w:r>
        <w:rPr>
          <w:rFonts w:ascii="宋体" w:hAnsi="宋体" w:eastAsia="宋体"/>
          <w:bCs/>
          <w:szCs w:val="32"/>
        </w:rPr>
        <w:instrText xml:space="preserve"> </w:instrText>
      </w:r>
      <w:r>
        <w:rPr>
          <w:rFonts w:ascii="宋体" w:hAnsi="宋体" w:eastAsia="宋体"/>
          <w:bCs/>
          <w:szCs w:val="32"/>
        </w:rPr>
        <w:fldChar w:fldCharType="separate"/>
      </w:r>
      <w:r>
        <w:rPr>
          <w:rFonts w:hint="eastAsia" w:ascii="宋体" w:hAnsi="宋体" w:eastAsia="宋体"/>
          <w:bCs/>
          <w:szCs w:val="32"/>
        </w:rPr>
        <w:t xml:space="preserve">②</w:t>
      </w:r>
      <w:r>
        <w:rPr>
          <w:rFonts w:ascii="宋体" w:hAnsi="宋体" w:eastAsia="宋体"/>
          <w:bCs/>
          <w:szCs w:val="32"/>
        </w:rPr>
        <w:fldChar w:fldCharType="end"/>
      </w:r>
      <w:r>
        <w:rPr>
          <w:rFonts w:hint="eastAsia" w:ascii="宋体" w:hAnsi="宋体" w:eastAsia="宋体"/>
          <w:bCs/>
          <w:szCs w:val="32"/>
        </w:rPr>
        <w:t xml:space="preserve">推进工程建设项目审批“805540”深化改革，保持全省第一方阵</w:t>
      </w:r>
      <w:r>
        <w:rPr>
          <w:rFonts w:ascii="宋体" w:hAnsi="宋体" w:eastAsia="宋体"/>
          <w:bCs/>
          <w:szCs w:val="32"/>
        </w:rPr>
        <w:t xml:space="preserve">。</w:t>
      </w:r>
      <w:r>
        <w:rPr>
          <w:rFonts w:ascii="宋体" w:hAnsi="宋体" w:eastAsia="宋体"/>
          <w:bCs/>
          <w:szCs w:val="32"/>
        </w:rPr>
      </w:r>
    </w:p>
    <w:p>
      <w:pPr>
        <w:pBdr/>
        <w:spacing w:line="384" w:lineRule="auto"/>
        <w:ind w:firstLine="640"/>
        <w:rPr>
          <w:rFonts w:ascii="宋体" w:hAnsi="宋体" w:eastAsia="宋体"/>
          <w:bCs/>
          <w:szCs w:val="32"/>
        </w:rPr>
      </w:pPr>
      <w:r>
        <w:rPr>
          <w:rFonts w:hint="eastAsia" w:ascii="宋体" w:hAnsi="宋体" w:eastAsia="宋体"/>
          <w:bCs/>
          <w:szCs w:val="32"/>
        </w:rPr>
        <w:t xml:space="preserve">（4）产生偏差的原因</w:t>
      </w:r>
      <w:r>
        <w:rPr>
          <w:rFonts w:ascii="宋体" w:hAnsi="宋体" w:eastAsia="宋体"/>
          <w:bCs/>
          <w:szCs w:val="32"/>
        </w:rPr>
      </w:r>
    </w:p>
    <w:p>
      <w:pPr>
        <w:pBdr/>
        <w:spacing w:line="384" w:lineRule="auto"/>
        <w:ind w:firstLine="640"/>
        <w:rPr>
          <w:rFonts w:ascii="宋体" w:hAnsi="宋体" w:eastAsia="宋体"/>
          <w:bCs/>
          <w:szCs w:val="32"/>
        </w:rPr>
      </w:pPr>
      <w:r>
        <w:rPr>
          <w:rFonts w:ascii="宋体" w:hAnsi="宋体" w:eastAsia="宋体"/>
          <w:bCs/>
          <w:szCs w:val="32"/>
        </w:rPr>
        <w:fldChar w:fldCharType="begin"/>
      </w:r>
      <w:r>
        <w:rPr>
          <w:rFonts w:ascii="宋体" w:hAnsi="宋体" w:eastAsia="宋体"/>
          <w:bCs/>
          <w:szCs w:val="32"/>
        </w:rPr>
        <w:instrText xml:space="preserve"> </w:instrText>
      </w:r>
      <w:r>
        <w:rPr>
          <w:rFonts w:hint="eastAsia" w:ascii="宋体" w:hAnsi="宋体" w:eastAsia="宋体"/>
          <w:bCs/>
          <w:szCs w:val="32"/>
        </w:rPr>
        <w:instrText xml:space="preserve">= 1 \* GB3</w:instrText>
      </w:r>
      <w:r>
        <w:rPr>
          <w:rFonts w:ascii="宋体" w:hAnsi="宋体" w:eastAsia="宋体"/>
          <w:bCs/>
          <w:szCs w:val="32"/>
        </w:rPr>
        <w:instrText xml:space="preserve"> </w:instrText>
      </w:r>
      <w:r>
        <w:rPr>
          <w:rFonts w:ascii="宋体" w:hAnsi="宋体" w:eastAsia="宋体"/>
          <w:bCs/>
          <w:szCs w:val="32"/>
        </w:rPr>
        <w:fldChar w:fldCharType="separate"/>
      </w:r>
      <w:r>
        <w:rPr>
          <w:rFonts w:hint="eastAsia" w:ascii="宋体" w:hAnsi="宋体" w:eastAsia="宋体"/>
          <w:bCs/>
          <w:szCs w:val="32"/>
        </w:rPr>
        <w:t xml:space="preserve">①</w:t>
      </w:r>
      <w:r>
        <w:rPr>
          <w:rFonts w:ascii="宋体" w:hAnsi="宋体" w:eastAsia="宋体"/>
          <w:bCs/>
          <w:szCs w:val="32"/>
        </w:rPr>
        <w:fldChar w:fldCharType="end"/>
      </w:r>
      <w:r>
        <w:rPr>
          <w:rFonts w:hint="eastAsia" w:ascii="宋体" w:hAnsi="宋体" w:eastAsia="宋体"/>
          <w:bCs/>
          <w:szCs w:val="32"/>
        </w:rPr>
        <w:t xml:space="preserve">存量房资金托管子系统因没有出台相应的资金托管实施细则或管理办法，无法设置操作流程；</w:t>
      </w:r>
      <w:r>
        <w:rPr>
          <w:rFonts w:ascii="宋体" w:hAnsi="宋体" w:eastAsia="宋体"/>
          <w:bCs/>
          <w:szCs w:val="32"/>
        </w:rPr>
      </w:r>
    </w:p>
    <w:p>
      <w:pPr>
        <w:pBdr/>
        <w:spacing w:line="384" w:lineRule="auto"/>
        <w:ind w:firstLine="640"/>
        <w:rPr>
          <w:rFonts w:ascii="宋体" w:hAnsi="宋体" w:eastAsia="宋体"/>
          <w:bCs/>
          <w:szCs w:val="32"/>
        </w:rPr>
      </w:pPr>
      <w:r>
        <w:rPr>
          <w:rFonts w:ascii="宋体" w:hAnsi="宋体" w:eastAsia="宋体"/>
          <w:bCs/>
          <w:szCs w:val="32"/>
        </w:rPr>
        <w:fldChar w:fldCharType="begin"/>
      </w:r>
      <w:r>
        <w:rPr>
          <w:rFonts w:ascii="宋体" w:hAnsi="宋体" w:eastAsia="宋体"/>
          <w:bCs/>
          <w:szCs w:val="32"/>
        </w:rPr>
        <w:instrText xml:space="preserve"> </w:instrText>
      </w:r>
      <w:r>
        <w:rPr>
          <w:rFonts w:hint="eastAsia" w:ascii="宋体" w:hAnsi="宋体" w:eastAsia="宋体"/>
          <w:bCs/>
          <w:szCs w:val="32"/>
        </w:rPr>
        <w:instrText xml:space="preserve">= 2 \* GB3</w:instrText>
      </w:r>
      <w:r>
        <w:rPr>
          <w:rFonts w:ascii="宋体" w:hAnsi="宋体" w:eastAsia="宋体"/>
          <w:bCs/>
          <w:szCs w:val="32"/>
        </w:rPr>
        <w:instrText xml:space="preserve"> </w:instrText>
      </w:r>
      <w:r>
        <w:rPr>
          <w:rFonts w:ascii="宋体" w:hAnsi="宋体" w:eastAsia="宋体"/>
          <w:bCs/>
          <w:szCs w:val="32"/>
        </w:rPr>
        <w:fldChar w:fldCharType="separate"/>
      </w:r>
      <w:r>
        <w:rPr>
          <w:rFonts w:hint="eastAsia" w:ascii="宋体" w:hAnsi="宋体" w:eastAsia="宋体"/>
          <w:bCs/>
          <w:szCs w:val="32"/>
        </w:rPr>
        <w:t xml:space="preserve">②</w:t>
      </w:r>
      <w:r>
        <w:rPr>
          <w:rFonts w:ascii="宋体" w:hAnsi="宋体" w:eastAsia="宋体"/>
          <w:bCs/>
          <w:szCs w:val="32"/>
        </w:rPr>
        <w:fldChar w:fldCharType="end"/>
      </w:r>
      <w:r>
        <w:rPr>
          <w:rFonts w:hint="eastAsia" w:ascii="宋体" w:hAnsi="宋体" w:eastAsia="宋体"/>
          <w:bCs/>
          <w:szCs w:val="32"/>
        </w:rPr>
        <w:t xml:space="preserve">住宅专项维修资金管理子系统可实现资金缴存管理，但原存量资金来源信息未录入，且资金纳入财政专户存储，无法实现资金使用管理。</w:t>
      </w:r>
      <w:r>
        <w:rPr>
          <w:rFonts w:ascii="宋体" w:hAnsi="宋体" w:eastAsia="宋体"/>
          <w:bCs/>
          <w:szCs w:val="32"/>
        </w:rPr>
      </w:r>
    </w:p>
    <w:p>
      <w:pPr>
        <w:pBdr/>
        <w:spacing w:line="384" w:lineRule="auto"/>
        <w:ind w:firstLine="643"/>
        <w:rPr>
          <w:rFonts w:ascii="宋体" w:hAnsi="宋体" w:eastAsia="宋体"/>
          <w:b/>
          <w:szCs w:val="32"/>
        </w:rPr>
      </w:pPr>
      <w:r>
        <w:rPr>
          <w:rFonts w:ascii="宋体" w:hAnsi="宋体" w:eastAsia="宋体"/>
          <w:b/>
          <w:szCs w:val="32"/>
        </w:rPr>
        <w:t xml:space="preserve">（四）上年度部门整体</w:t>
      </w:r>
      <w:r>
        <w:rPr>
          <w:rFonts w:hint="eastAsia" w:ascii="宋体" w:hAnsi="宋体" w:eastAsia="宋体"/>
          <w:b/>
          <w:szCs w:val="32"/>
        </w:rPr>
        <w:t xml:space="preserve">绩效</w:t>
      </w:r>
      <w:r>
        <w:rPr>
          <w:rFonts w:ascii="宋体" w:hAnsi="宋体" w:eastAsia="宋体"/>
          <w:b/>
          <w:szCs w:val="32"/>
        </w:rPr>
        <w:t xml:space="preserve">自评结果应用情况</w:t>
      </w:r>
      <w:r>
        <w:rPr>
          <w:rFonts w:ascii="宋体" w:hAnsi="宋体" w:eastAsia="宋体"/>
          <w:b/>
          <w:szCs w:val="32"/>
        </w:rPr>
      </w:r>
    </w:p>
    <w:p>
      <w:pPr>
        <w:pBdr/>
        <w:tabs>
          <w:tab w:val="center" w:leader="none" w:pos="4153"/>
        </w:tabs>
        <w:spacing w:line="384" w:lineRule="auto"/>
        <w:ind w:firstLine="640"/>
        <w:rPr>
          <w:rFonts w:hint="eastAsia" w:ascii="宋体" w:hAnsi="宋体" w:eastAsia="宋体" w:cs="Times New Roman"/>
          <w:szCs w:val="32"/>
        </w:rPr>
      </w:pPr>
      <w:r>
        <w:rPr>
          <w:rFonts w:hint="eastAsia" w:ascii="宋体" w:hAnsi="宋体" w:eastAsia="宋体" w:cs="Times New Roman"/>
          <w:szCs w:val="32"/>
        </w:rPr>
        <w:t xml:space="preserve">随州市住房和城乡建设信息中心20</w:t>
      </w:r>
      <w:r>
        <w:rPr>
          <w:rFonts w:hint="eastAsia" w:ascii="宋体" w:hAnsi="宋体" w:eastAsia="宋体" w:cs="Times New Roman"/>
          <w:szCs w:val="32"/>
          <w:lang w:val="en-US" w:eastAsia="zh-CN"/>
        </w:rPr>
        <w:t xml:space="preserve">20</w:t>
      </w:r>
      <w:r>
        <w:rPr>
          <w:rFonts w:hint="eastAsia" w:ascii="宋体" w:hAnsi="宋体" w:eastAsia="宋体" w:cs="Times New Roman"/>
          <w:szCs w:val="32"/>
        </w:rPr>
        <w:t xml:space="preserve">年度绩效评价完成后，</w:t>
      </w:r>
      <w:r>
        <w:rPr>
          <w:rFonts w:hint="eastAsia" w:ascii="宋体" w:hAnsi="宋体" w:eastAsia="宋体" w:cs="Times New Roman"/>
          <w:color w:val="ff0000"/>
          <w:szCs w:val="32"/>
        </w:rPr>
        <w:t xml:space="preserve">绩效自评结果将在本部门网站上进行信息公开</w:t>
      </w:r>
      <w:r>
        <w:rPr>
          <w:rFonts w:hint="eastAsia" w:ascii="宋体" w:hAnsi="宋体" w:eastAsia="宋体" w:cs="Times New Roman"/>
          <w:szCs w:val="32"/>
        </w:rPr>
        <w:t xml:space="preserve">，接受社会监督。</w:t>
      </w:r>
      <w:r>
        <w:rPr>
          <w:rFonts w:hint="eastAsia" w:ascii="宋体" w:hAnsi="宋体" w:eastAsia="宋体" w:cs="Times New Roman"/>
          <w:szCs w:val="32"/>
        </w:rPr>
      </w:r>
    </w:p>
    <w:p>
      <w:pPr>
        <w:pBdr/>
        <w:spacing w:line="384" w:lineRule="auto"/>
        <w:ind w:firstLine="643"/>
        <w:rPr>
          <w:rFonts w:hint="eastAsia" w:ascii="宋体" w:hAnsi="宋体" w:eastAsia="宋体" w:cs="Times New Roman"/>
          <w:b/>
          <w:szCs w:val="32"/>
        </w:rPr>
      </w:pPr>
      <w:r>
        <w:rPr>
          <w:rFonts w:hint="eastAsia" w:ascii="宋体" w:hAnsi="宋体" w:eastAsia="宋体" w:cs="Times New Roman"/>
          <w:b/>
          <w:szCs w:val="32"/>
          <w:lang w:eastAsia="zh-CN"/>
        </w:rPr>
        <w:t xml:space="preserve">（五）</w:t>
      </w:r>
      <w:r>
        <w:rPr>
          <w:rFonts w:hint="eastAsia" w:ascii="宋体" w:hAnsi="宋体" w:eastAsia="宋体" w:cs="Times New Roman"/>
          <w:b/>
          <w:szCs w:val="32"/>
        </w:rPr>
        <w:t xml:space="preserve">下一步改进措施</w:t>
      </w:r>
      <w:r>
        <w:rPr>
          <w:rFonts w:hint="eastAsia" w:ascii="宋体" w:hAnsi="宋体" w:eastAsia="宋体" w:cs="Times New Roman"/>
          <w:b/>
          <w:szCs w:val="32"/>
        </w:rPr>
      </w:r>
    </w:p>
    <w:p>
      <w:pPr>
        <w:numPr>
          <w:ilvl w:val="0"/>
          <w:numId w:val="0"/>
        </w:numPr>
        <w:pBdr/>
        <w:tabs>
          <w:tab w:val="center" w:leader="none" w:pos="4153"/>
        </w:tabs>
        <w:spacing w:line="384" w:lineRule="auto"/>
        <w:ind w:firstLine="640"/>
        <w:rPr>
          <w:rFonts w:hint="eastAsia" w:ascii="宋体" w:hAnsi="宋体" w:eastAsia="宋体" w:cs="Times New Roman"/>
          <w:szCs w:val="32"/>
        </w:rPr>
      </w:pPr>
      <w:r>
        <w:rPr>
          <w:rFonts w:hint="eastAsia" w:ascii="宋体" w:hAnsi="宋体" w:eastAsia="宋体" w:cs="Times New Roman"/>
          <w:szCs w:val="32"/>
        </w:rPr>
        <w:t xml:space="preserve">（1）强化预算执行，提高预算完成率。严格按项目和进度执行预算，合理安排资金支出，增强预算执行的规范性和严肃性；完善项目责任制，业务科室为项目实施责任单位，应加强与财务部门的沟通协调和项目实施，定期做好预算执行分析，及时了解预算执行差异，合理调整、纠正预算执行偏差，加快预算的执行进度，减少存量资金，切实提高预算完成率及资金使用效益。</w:t>
      </w:r>
      <w:r>
        <w:rPr>
          <w:rFonts w:hint="eastAsia" w:ascii="宋体" w:hAnsi="宋体" w:eastAsia="宋体" w:cs="Times New Roman"/>
          <w:szCs w:val="32"/>
        </w:rPr>
      </w:r>
    </w:p>
    <w:p>
      <w:pPr>
        <w:pBdr/>
        <w:tabs>
          <w:tab w:val="center" w:leader="none" w:pos="4153"/>
        </w:tabs>
        <w:spacing w:line="384" w:lineRule="auto"/>
        <w:ind w:firstLine="640"/>
        <w:rPr>
          <w:rFonts w:hint="eastAsia" w:ascii="宋体" w:hAnsi="宋体" w:eastAsia="宋体" w:cs="Times New Roman"/>
          <w:szCs w:val="32"/>
        </w:rPr>
      </w:pPr>
      <w:r>
        <w:rPr>
          <w:rFonts w:hint="eastAsia" w:ascii="宋体" w:hAnsi="宋体" w:eastAsia="宋体" w:cs="Times New Roman"/>
          <w:szCs w:val="32"/>
        </w:rPr>
        <w:t xml:space="preserve">（2）科学合理编制政府采购预算，强化政府采购预算执行，确保政府采购预算切合单位实际。</w:t>
      </w:r>
      <w:r>
        <w:rPr>
          <w:rFonts w:hint="eastAsia" w:ascii="宋体" w:hAnsi="宋体" w:eastAsia="宋体" w:cs="Times New Roman"/>
          <w:szCs w:val="32"/>
        </w:rPr>
      </w:r>
    </w:p>
    <w:p>
      <w:pPr>
        <w:pBdr/>
        <w:tabs>
          <w:tab w:val="center" w:leader="none" w:pos="4153"/>
        </w:tabs>
        <w:spacing w:line="384" w:lineRule="auto"/>
        <w:ind w:firstLine="640"/>
        <w:rPr>
          <w:rFonts w:hint="eastAsia" w:ascii="宋体" w:hAnsi="宋体" w:eastAsia="宋体" w:cs="Times New Roman"/>
          <w:szCs w:val="32"/>
        </w:rPr>
      </w:pPr>
      <w:r>
        <w:rPr>
          <w:rFonts w:hint="eastAsia" w:ascii="宋体" w:hAnsi="宋体" w:eastAsia="宋体" w:cs="Times New Roman"/>
          <w:szCs w:val="32"/>
        </w:rPr>
        <w:t xml:space="preserve">（3）根据年初的绩效考核指标及预算绩效目标，扎实推进相关工作，确保考核指标及预算绩效目标按时、优质完成。</w:t>
      </w:r>
      <w:r>
        <w:rPr>
          <w:rFonts w:hint="eastAsia" w:ascii="宋体" w:hAnsi="宋体" w:eastAsia="宋体" w:cs="Times New Roman"/>
          <w:szCs w:val="32"/>
        </w:rPr>
      </w:r>
    </w:p>
    <w:p>
      <w:pPr>
        <w:pBdr/>
        <w:tabs>
          <w:tab w:val="center" w:leader="none" w:pos="4153"/>
        </w:tabs>
        <w:spacing w:line="384" w:lineRule="auto"/>
        <w:ind w:firstLine="640"/>
        <w:rPr>
          <w:rFonts w:hint="eastAsia" w:ascii="宋体" w:hAnsi="宋体" w:eastAsia="宋体" w:cs="Times New Roman"/>
          <w:szCs w:val="32"/>
        </w:rPr>
      </w:pPr>
      <w:r>
        <w:rPr>
          <w:rFonts w:hint="eastAsia" w:ascii="宋体" w:hAnsi="宋体" w:eastAsia="宋体" w:cs="Times New Roman"/>
          <w:szCs w:val="32"/>
        </w:rPr>
      </w:r>
      <w:r>
        <w:rPr>
          <w:rFonts w:hint="eastAsia" w:ascii="宋体" w:hAnsi="宋体" w:eastAsia="宋体" w:cs="Times New Roman"/>
          <w:szCs w:val="32"/>
        </w:rPr>
      </w:r>
    </w:p>
    <w:sectPr>
      <w:headerReference w:type="default" r:id="rId8"/>
      <w:footerReference w:type="default" r:id="rId9"/>
      <w:footnotePr/>
      <w:endnotePr/>
      <w:type w:val="nextPage"/>
      <w:pgSz w:h="16838" w:orient="landscape" w:w="11906"/>
      <w:pgMar w:top="1440" w:right="1800" w:bottom="1440" w:left="1800" w:header="851" w:footer="992" w:gutter="0"/>
      <w:pgNumType w:start="0"/>
      <w:cols w:num="1" w:sep="0" w:space="425" w:equalWidth="1"/>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pBdr/>
        <w:spacing w:after="0" w:line="240" w:lineRule="auto"/>
        <w:ind/>
        <w:rPr/>
      </w:pPr>
      <w:r/>
      <w:r>
        <w:separator/>
      </w:r>
      <w:r/>
    </w:p>
  </w:endnote>
  <w:endnote w:type="continuationSeparator" w:id="0">
    <w:p>
      <w:pPr>
        <w:pBdr/>
        <w:spacing w:after="0" w:line="240" w:lineRule="auto"/>
        <w:ind/>
        <w:rPr/>
      </w:pPr>
      <w: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楷体">
    <w:panose1 w:val="02010609060101010101"/>
  </w:font>
  <w:font w:name="楷体_GB2312">
    <w:panose1 w:val="02010609060101010101"/>
  </w:font>
  <w:font w:name="仿宋">
    <w:panose1 w:val="02010609060101010101"/>
  </w:font>
  <w:font w:name="黑体">
    <w:panose1 w:val="02010609060101010101"/>
  </w:font>
  <w:font w:name="仿宋_GB2312">
    <w:panose1 w:val="02010609060101010101"/>
  </w:font>
  <w:font w:name="Arial">
    <w:panose1 w:val="020B0604020202020204"/>
  </w:font>
  <w:font w:name="等线">
    <w:panose1 w:val="02010600030101010101"/>
  </w:font>
  <w:font w:name="宋体">
    <w:panose1 w:val="02010600030101010101"/>
  </w:font>
  <w:font w:name="Times New Roman">
    <w:panose1 w:val="02020603050405020304"/>
  </w:font>
  <w:font w:name="Calibri">
    <w:panose1 w:val="020F0502020204030204"/>
  </w:font>
  <w:font w:name="Cambria">
    <w:panose1 w:val="02040503050406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680"/>
      <w:pBdr/>
      <w:spacing/>
      <w:ind/>
      <w:jc w:val="center"/>
      <w:rPr/>
    </w:pPr>
    <w:r>
      <mc:AlternateContent>
        <mc:Choice Requires="wpg">
          <w:drawing>
            <wp:anchor xmlns:wp="http://schemas.openxmlformats.org/drawingml/2006/wordprocessingDrawing" xmlns:wp14="http://schemas.microsoft.com/office/word/2010/wordprocessingDrawing"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Pr id="0" name=""/>
                    <wps:cNvSpPr txBox="1"/>
                    <wps:spPr bwMode="auto">
                      <a:xfrm>
                        <a:off x="0" y="0"/>
                        <a:ext cx="1828800" cy="1828800"/>
                      </a:xfrm>
                      <a:prstGeom prst="rect">
                        <a:avLst/>
                      </a:prstGeom>
                      <a:noFill/>
                      <a:ln>
                        <a:noFill/>
                        <a:miter/>
                      </a:ln>
                    </wps:spPr>
                    <wps:txbx>
                      <w:txbxContent>
                        <w:p>
                          <w:pPr>
                            <w:pStyle w:val="680"/>
                            <w:pBdr/>
                            <w:spacing/>
                            <w:ind/>
                            <w:rPr/>
                          </w:pPr>
                          <w:r>
                            <w:fldChar w:fldCharType="begin"/>
                          </w:r>
                          <w:r>
                            <w:instrText xml:space="preserve"> PAGE  \* MERGEFORMAT </w:instrText>
                          </w:r>
                          <w:r>
                            <w:fldChar w:fldCharType="separate"/>
                          </w:r>
                          <w:r>
                            <w:t xml:space="preserve">5</w:t>
                          </w:r>
                          <w:r>
                            <w:fldChar w:fldCharType="end"/>
                          </w:r>
                          <w:r/>
                        </w:p>
                      </w:txbxContent>
                    </wps:txbx>
                    <wps:bodyPr wrap="none" lIns="0" tIns="0" rIns="0" bIns="0" upright="1">
                      <a:spAutoFit/>
                    </wps:bodyPr>
                  </wps:wsp>
                </a:graphicData>
              </a:graphic>
            </wp:anchor>
          </w:drawing>
        </mc:Choice>
        <mc:Fallback>
          <w:pict>
            <v:shape id="shape 0" o:spid="_x0000_s0" o:spt="202" type="#_x0000_t202" style="position:absolute;z-index:251659264;o:allowoverlap:true;o:allowincell:true;mso-position-horizontal-relative:margin;mso-position-horizontal:center;mso-position-vertical-relative:text;margin-top:0.00pt;mso-position-vertical:absolute;width:144.00pt;height:144.00pt;mso-wrap-distance-left:9.00pt;mso-wrap-distance-top:0.00pt;mso-wrap-distance-right:9.00pt;mso-wrap-distance-bottom:0.00pt;visibility:visible;" filled="f" stroked="f">
              <v:textbox inset="0,0,0,0">
                <w:txbxContent>
                  <w:p>
                    <w:pPr>
                      <w:pStyle w:val="680"/>
                      <w:pBdr/>
                      <w:spacing/>
                      <w:ind/>
                      <w:rPr/>
                    </w:pPr>
                    <w:r>
                      <w:fldChar w:fldCharType="begin"/>
                    </w:r>
                    <w:r>
                      <w:instrText xml:space="preserve"> PAGE  \* MERGEFORMAT </w:instrText>
                    </w:r>
                    <w:r>
                      <w:fldChar w:fldCharType="separate"/>
                    </w:r>
                    <w:r>
                      <w:t xml:space="preserve">5</w:t>
                    </w:r>
                    <w:r>
                      <w:fldChar w:fldCharType="end"/>
                    </w:r>
                    <w:r/>
                  </w:p>
                </w:txbxContent>
              </v:textbox>
            </v:shape>
          </w:pict>
        </mc:Fallback>
      </mc:AlternateContent>
    </w:r>
    <w:sdt>
      <w:sdtPr>
        <w15:appearance w15:val="boundingBox"/>
        <w:id w:val="1588494642"/>
        <w:showingPlcHdr w:val="true"/>
        <w:rPr/>
      </w:sdtPr>
      <w:sdtContent>
        <w:r>
          <w:t xml:space="preserve">    </w:t>
        </w:r>
      </w:sdtContent>
    </w:sdt>
    <w:r/>
    <w:r/>
  </w:p>
  <w:p>
    <w:pPr>
      <w:pStyle w:val="680"/>
      <w:pBdr/>
      <w:spacing/>
      <w:ind/>
      <w:rPr/>
    </w:pPr>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pBdr/>
        <w:spacing w:after="0" w:line="240" w:lineRule="auto"/>
        <w:ind/>
        <w:rPr/>
      </w:pPr>
      <w:r/>
      <w:r>
        <w:separator/>
      </w:r>
      <w:r/>
    </w:p>
  </w:footnote>
  <w:footnote w:type="continuationSeparator" w:id="0">
    <w:p>
      <w:pPr>
        <w:pBdr/>
        <w:spacing w:after="0" w:line="240" w:lineRule="auto"/>
        <w:ind/>
        <w:rPr/>
      </w:pPr>
      <w: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681"/>
      <w:pBdr/>
      <w:spacing/>
      <w:ind/>
      <w:rPr/>
    </w:pPr>
    <w:r/>
    <w:r/>
  </w:p>
  <w:p>
    <w:pPr>
      <w:pStyle w:val="681"/>
      <w:pBdr/>
      <w:spacing/>
      <w:ind/>
      <w:jc w:val="both"/>
      <w:rPr/>
    </w:pPr>
    <w:r>
      <w:rPr>
        <w:rFonts w:hint="eastAsia"/>
      </w:rPr>
      <w:t xml:space="preserve">随州市住房和城乡建设信息中心</w:t>
    </w:r>
    <w:r>
      <w:rPr>
        <w:rFonts w:hint="eastAsia"/>
        <w:lang w:val="en-US" w:eastAsia="zh-CN"/>
      </w:rPr>
      <w:t xml:space="preserve">2</w:t>
    </w:r>
    <w:r>
      <w:rPr>
        <w:rFonts w:hint="eastAsia"/>
      </w:rPr>
      <w:t xml:space="preserve">021年部门整体支出绩效自评报告</w:t>
    </w:r>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enforcement="0"/>
  <w:defaultTabStop w:val="420"/>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balanceSingleByteDoubleByteWidth w:val="true"/>
    <w:ulTrailSpace w:val="true"/>
    <w:doNotExpandShiftReturn w:val="true"/>
    <w:useFELayout w:val="true"/>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imes New Roman" w:hAnsi="Times New Roman" w:eastAsia="宋体" w:cs="Times New Roman"/>
      </w:rPr>
    </w:rPrDefault>
    <w:pPrDefault>
      <w:pPr>
        <w:pBdr/>
        <w:spacing/>
        <w:ind/>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13">
    <w:name w:val="Heading 1"/>
    <w:basedOn w:val="675"/>
    <w:next w:val="675"/>
    <w:link w:val="14"/>
    <w:uiPriority w:val="9"/>
    <w:qFormat/>
    <w:pPr>
      <w:keepNext w:val="true"/>
      <w:keepLines w:val="true"/>
      <w:pBdr/>
      <w:spacing w:after="200" w:before="480"/>
      <w:ind/>
      <w:outlineLvl w:val="0"/>
    </w:pPr>
    <w:rPr>
      <w:rFonts w:ascii="等线" w:hAnsi="等线" w:eastAsia="等线" w:cs="等线"/>
      <w:sz w:val="40"/>
      <w:szCs w:val="40"/>
    </w:rPr>
  </w:style>
  <w:style w:type="character" w:styleId="14">
    <w:name w:val="Heading 1 Char"/>
    <w:basedOn w:val="676"/>
    <w:link w:val="13"/>
    <w:uiPriority w:val="9"/>
    <w:pPr>
      <w:pBdr/>
      <w:spacing/>
      <w:ind/>
    </w:pPr>
    <w:rPr>
      <w:rFonts w:ascii="等线" w:hAnsi="等线" w:eastAsia="等线" w:cs="等线"/>
      <w:sz w:val="40"/>
      <w:szCs w:val="40"/>
    </w:rPr>
  </w:style>
  <w:style w:type="paragraph" w:styleId="15">
    <w:name w:val="Heading 2"/>
    <w:basedOn w:val="675"/>
    <w:next w:val="675"/>
    <w:link w:val="16"/>
    <w:uiPriority w:val="9"/>
    <w:unhideWhenUsed/>
    <w:qFormat/>
    <w:pPr>
      <w:keepNext w:val="true"/>
      <w:keepLines w:val="true"/>
      <w:pBdr/>
      <w:spacing w:after="200" w:before="360"/>
      <w:ind/>
      <w:outlineLvl w:val="1"/>
    </w:pPr>
    <w:rPr>
      <w:rFonts w:ascii="等线" w:hAnsi="等线" w:eastAsia="等线" w:cs="等线"/>
      <w:sz w:val="34"/>
    </w:rPr>
  </w:style>
  <w:style w:type="character" w:styleId="16">
    <w:name w:val="Heading 2 Char"/>
    <w:basedOn w:val="676"/>
    <w:link w:val="15"/>
    <w:uiPriority w:val="9"/>
    <w:pPr>
      <w:pBdr/>
      <w:spacing/>
      <w:ind/>
    </w:pPr>
    <w:rPr>
      <w:rFonts w:ascii="等线" w:hAnsi="等线" w:eastAsia="等线" w:cs="等线"/>
      <w:sz w:val="34"/>
    </w:rPr>
  </w:style>
  <w:style w:type="paragraph" w:styleId="17">
    <w:name w:val="Heading 3"/>
    <w:basedOn w:val="675"/>
    <w:next w:val="675"/>
    <w:link w:val="18"/>
    <w:uiPriority w:val="9"/>
    <w:unhideWhenUsed/>
    <w:qFormat/>
    <w:pPr>
      <w:keepNext w:val="true"/>
      <w:keepLines w:val="true"/>
      <w:pBdr/>
      <w:spacing w:after="200" w:before="320"/>
      <w:ind/>
      <w:outlineLvl w:val="2"/>
    </w:pPr>
    <w:rPr>
      <w:rFonts w:ascii="等线" w:hAnsi="等线" w:eastAsia="等线" w:cs="等线"/>
      <w:sz w:val="30"/>
      <w:szCs w:val="30"/>
    </w:rPr>
  </w:style>
  <w:style w:type="character" w:styleId="18">
    <w:name w:val="Heading 3 Char"/>
    <w:basedOn w:val="676"/>
    <w:link w:val="17"/>
    <w:uiPriority w:val="9"/>
    <w:pPr>
      <w:pBdr/>
      <w:spacing/>
      <w:ind/>
    </w:pPr>
    <w:rPr>
      <w:rFonts w:ascii="等线" w:hAnsi="等线" w:eastAsia="等线" w:cs="等线"/>
      <w:sz w:val="30"/>
      <w:szCs w:val="30"/>
    </w:rPr>
  </w:style>
  <w:style w:type="paragraph" w:styleId="19">
    <w:name w:val="Heading 4"/>
    <w:basedOn w:val="675"/>
    <w:next w:val="675"/>
    <w:link w:val="20"/>
    <w:uiPriority w:val="9"/>
    <w:unhideWhenUsed/>
    <w:qFormat/>
    <w:pPr>
      <w:keepNext w:val="true"/>
      <w:keepLines w:val="true"/>
      <w:pBdr/>
      <w:spacing w:after="200" w:before="320"/>
      <w:ind/>
      <w:outlineLvl w:val="3"/>
    </w:pPr>
    <w:rPr>
      <w:rFonts w:ascii="等线" w:hAnsi="等线" w:eastAsia="等线" w:cs="等线"/>
      <w:b/>
      <w:bCs/>
      <w:sz w:val="26"/>
      <w:szCs w:val="26"/>
    </w:rPr>
  </w:style>
  <w:style w:type="character" w:styleId="20">
    <w:name w:val="Heading 4 Char"/>
    <w:basedOn w:val="676"/>
    <w:link w:val="19"/>
    <w:uiPriority w:val="9"/>
    <w:pPr>
      <w:pBdr/>
      <w:spacing/>
      <w:ind/>
    </w:pPr>
    <w:rPr>
      <w:rFonts w:ascii="等线" w:hAnsi="等线" w:eastAsia="等线" w:cs="等线"/>
      <w:b/>
      <w:bCs/>
      <w:sz w:val="26"/>
      <w:szCs w:val="26"/>
    </w:rPr>
  </w:style>
  <w:style w:type="paragraph" w:styleId="21">
    <w:name w:val="Heading 5"/>
    <w:basedOn w:val="675"/>
    <w:next w:val="675"/>
    <w:link w:val="22"/>
    <w:uiPriority w:val="9"/>
    <w:unhideWhenUsed/>
    <w:qFormat/>
    <w:pPr>
      <w:keepNext w:val="true"/>
      <w:keepLines w:val="true"/>
      <w:pBdr/>
      <w:spacing w:after="200" w:before="320"/>
      <w:ind/>
      <w:outlineLvl w:val="4"/>
    </w:pPr>
    <w:rPr>
      <w:rFonts w:ascii="等线" w:hAnsi="等线" w:eastAsia="等线" w:cs="等线"/>
      <w:b/>
      <w:bCs/>
      <w:sz w:val="24"/>
      <w:szCs w:val="24"/>
    </w:rPr>
  </w:style>
  <w:style w:type="character" w:styleId="22">
    <w:name w:val="Heading 5 Char"/>
    <w:basedOn w:val="676"/>
    <w:link w:val="21"/>
    <w:uiPriority w:val="9"/>
    <w:pPr>
      <w:pBdr/>
      <w:spacing/>
      <w:ind/>
    </w:pPr>
    <w:rPr>
      <w:rFonts w:ascii="等线" w:hAnsi="等线" w:eastAsia="等线" w:cs="等线"/>
      <w:b/>
      <w:bCs/>
      <w:sz w:val="24"/>
      <w:szCs w:val="24"/>
    </w:rPr>
  </w:style>
  <w:style w:type="paragraph" w:styleId="23">
    <w:name w:val="Heading 6"/>
    <w:basedOn w:val="675"/>
    <w:next w:val="675"/>
    <w:link w:val="24"/>
    <w:uiPriority w:val="9"/>
    <w:unhideWhenUsed/>
    <w:qFormat/>
    <w:pPr>
      <w:keepNext w:val="true"/>
      <w:keepLines w:val="true"/>
      <w:pBdr/>
      <w:spacing w:after="200" w:before="320"/>
      <w:ind/>
      <w:outlineLvl w:val="5"/>
    </w:pPr>
    <w:rPr>
      <w:rFonts w:ascii="等线" w:hAnsi="等线" w:eastAsia="等线" w:cs="等线"/>
      <w:b/>
      <w:bCs/>
      <w:sz w:val="22"/>
      <w:szCs w:val="22"/>
    </w:rPr>
  </w:style>
  <w:style w:type="character" w:styleId="24">
    <w:name w:val="Heading 6 Char"/>
    <w:basedOn w:val="676"/>
    <w:link w:val="23"/>
    <w:uiPriority w:val="9"/>
    <w:pPr>
      <w:pBdr/>
      <w:spacing/>
      <w:ind/>
    </w:pPr>
    <w:rPr>
      <w:rFonts w:ascii="等线" w:hAnsi="等线" w:eastAsia="等线" w:cs="等线"/>
      <w:b/>
      <w:bCs/>
      <w:sz w:val="22"/>
      <w:szCs w:val="22"/>
    </w:rPr>
  </w:style>
  <w:style w:type="paragraph" w:styleId="25">
    <w:name w:val="Heading 7"/>
    <w:basedOn w:val="675"/>
    <w:next w:val="675"/>
    <w:link w:val="26"/>
    <w:uiPriority w:val="9"/>
    <w:unhideWhenUsed/>
    <w:qFormat/>
    <w:pPr>
      <w:keepNext w:val="true"/>
      <w:keepLines w:val="true"/>
      <w:pBdr/>
      <w:spacing w:after="200" w:before="320"/>
      <w:ind/>
      <w:outlineLvl w:val="6"/>
    </w:pPr>
    <w:rPr>
      <w:rFonts w:ascii="等线" w:hAnsi="等线" w:eastAsia="等线" w:cs="等线"/>
      <w:b/>
      <w:bCs/>
      <w:i/>
      <w:iCs/>
      <w:sz w:val="22"/>
      <w:szCs w:val="22"/>
    </w:rPr>
  </w:style>
  <w:style w:type="character" w:styleId="26">
    <w:name w:val="Heading 7 Char"/>
    <w:basedOn w:val="676"/>
    <w:link w:val="25"/>
    <w:uiPriority w:val="9"/>
    <w:pPr>
      <w:pBdr/>
      <w:spacing/>
      <w:ind/>
    </w:pPr>
    <w:rPr>
      <w:rFonts w:ascii="等线" w:hAnsi="等线" w:eastAsia="等线" w:cs="等线"/>
      <w:b/>
      <w:bCs/>
      <w:i/>
      <w:iCs/>
      <w:sz w:val="22"/>
      <w:szCs w:val="22"/>
    </w:rPr>
  </w:style>
  <w:style w:type="paragraph" w:styleId="27">
    <w:name w:val="Heading 8"/>
    <w:basedOn w:val="675"/>
    <w:next w:val="675"/>
    <w:link w:val="28"/>
    <w:uiPriority w:val="9"/>
    <w:unhideWhenUsed/>
    <w:qFormat/>
    <w:pPr>
      <w:keepNext w:val="true"/>
      <w:keepLines w:val="true"/>
      <w:pBdr/>
      <w:spacing w:after="200" w:before="320"/>
      <w:ind/>
      <w:outlineLvl w:val="7"/>
    </w:pPr>
    <w:rPr>
      <w:rFonts w:ascii="等线" w:hAnsi="等线" w:eastAsia="等线" w:cs="等线"/>
      <w:i/>
      <w:iCs/>
      <w:sz w:val="22"/>
      <w:szCs w:val="22"/>
    </w:rPr>
  </w:style>
  <w:style w:type="character" w:styleId="28">
    <w:name w:val="Heading 8 Char"/>
    <w:basedOn w:val="676"/>
    <w:link w:val="27"/>
    <w:uiPriority w:val="9"/>
    <w:pPr>
      <w:pBdr/>
      <w:spacing/>
      <w:ind/>
    </w:pPr>
    <w:rPr>
      <w:rFonts w:ascii="等线" w:hAnsi="等线" w:eastAsia="等线" w:cs="等线"/>
      <w:i/>
      <w:iCs/>
      <w:sz w:val="22"/>
      <w:szCs w:val="22"/>
    </w:rPr>
  </w:style>
  <w:style w:type="paragraph" w:styleId="29">
    <w:name w:val="Heading 9"/>
    <w:basedOn w:val="675"/>
    <w:next w:val="675"/>
    <w:link w:val="30"/>
    <w:uiPriority w:val="9"/>
    <w:unhideWhenUsed/>
    <w:qFormat/>
    <w:pPr>
      <w:keepNext w:val="true"/>
      <w:keepLines w:val="true"/>
      <w:pBdr/>
      <w:spacing w:after="200" w:before="320"/>
      <w:ind/>
      <w:outlineLvl w:val="8"/>
    </w:pPr>
    <w:rPr>
      <w:rFonts w:ascii="等线" w:hAnsi="等线" w:eastAsia="等线" w:cs="等线"/>
      <w:i/>
      <w:iCs/>
      <w:sz w:val="21"/>
      <w:szCs w:val="21"/>
    </w:rPr>
  </w:style>
  <w:style w:type="character" w:styleId="30">
    <w:name w:val="Heading 9 Char"/>
    <w:basedOn w:val="676"/>
    <w:link w:val="29"/>
    <w:uiPriority w:val="9"/>
    <w:pPr>
      <w:pBdr/>
      <w:spacing/>
      <w:ind/>
    </w:pPr>
    <w:rPr>
      <w:rFonts w:ascii="等线" w:hAnsi="等线" w:eastAsia="等线" w:cs="等线"/>
      <w:i/>
      <w:iCs/>
      <w:sz w:val="21"/>
      <w:szCs w:val="21"/>
    </w:rPr>
  </w:style>
  <w:style w:type="paragraph" w:styleId="33">
    <w:name w:val="No Spacing"/>
    <w:uiPriority w:val="1"/>
    <w:qFormat/>
    <w:pPr>
      <w:pBdr/>
      <w:spacing w:after="0" w:before="0" w:line="240" w:lineRule="auto"/>
      <w:ind/>
    </w:pPr>
  </w:style>
  <w:style w:type="paragraph" w:styleId="34">
    <w:name w:val="Title"/>
    <w:basedOn w:val="675"/>
    <w:next w:val="675"/>
    <w:link w:val="35"/>
    <w:uiPriority w:val="10"/>
    <w:qFormat/>
    <w:pPr>
      <w:pBdr/>
      <w:spacing w:after="200" w:before="300"/>
      <w:ind/>
      <w:contextualSpacing w:val="true"/>
    </w:pPr>
    <w:rPr>
      <w:sz w:val="48"/>
      <w:szCs w:val="48"/>
    </w:rPr>
  </w:style>
  <w:style w:type="character" w:styleId="35">
    <w:name w:val="Title Char"/>
    <w:basedOn w:val="676"/>
    <w:link w:val="34"/>
    <w:uiPriority w:val="10"/>
    <w:pPr>
      <w:pBdr/>
      <w:spacing/>
      <w:ind/>
    </w:pPr>
    <w:rPr>
      <w:sz w:val="48"/>
      <w:szCs w:val="48"/>
    </w:rPr>
  </w:style>
  <w:style w:type="paragraph" w:styleId="36">
    <w:name w:val="Subtitle"/>
    <w:basedOn w:val="675"/>
    <w:next w:val="675"/>
    <w:link w:val="37"/>
    <w:uiPriority w:val="11"/>
    <w:qFormat/>
    <w:pPr>
      <w:pBdr/>
      <w:spacing w:after="200" w:before="200"/>
      <w:ind/>
    </w:pPr>
    <w:rPr>
      <w:sz w:val="24"/>
      <w:szCs w:val="24"/>
    </w:rPr>
  </w:style>
  <w:style w:type="character" w:styleId="37">
    <w:name w:val="Subtitle Char"/>
    <w:basedOn w:val="676"/>
    <w:link w:val="36"/>
    <w:uiPriority w:val="11"/>
    <w:pPr>
      <w:pBdr/>
      <w:spacing/>
      <w:ind/>
    </w:pPr>
    <w:rPr>
      <w:sz w:val="24"/>
      <w:szCs w:val="24"/>
    </w:rPr>
  </w:style>
  <w:style w:type="paragraph" w:styleId="38">
    <w:name w:val="Quote"/>
    <w:basedOn w:val="675"/>
    <w:next w:val="675"/>
    <w:link w:val="39"/>
    <w:uiPriority w:val="29"/>
    <w:qFormat/>
    <w:pPr>
      <w:pBdr/>
      <w:spacing/>
      <w:ind w:right="720" w:left="720"/>
    </w:pPr>
    <w:rPr>
      <w:i/>
    </w:rPr>
  </w:style>
  <w:style w:type="character" w:styleId="39">
    <w:name w:val="Quote Char"/>
    <w:link w:val="38"/>
    <w:uiPriority w:val="29"/>
    <w:pPr>
      <w:pBdr/>
      <w:spacing/>
      <w:ind/>
    </w:pPr>
    <w:rPr>
      <w:i/>
    </w:rPr>
  </w:style>
  <w:style w:type="paragraph" w:styleId="40">
    <w:name w:val="Intense Quote"/>
    <w:basedOn w:val="675"/>
    <w:next w:val="675"/>
    <w:link w:val="41"/>
    <w:uiPriority w:val="30"/>
    <w:qFormat/>
    <w:pPr>
      <w:pBdr>
        <w:top w:val="single" w:color="ffffff" w:sz="4" w:space="5"/>
        <w:left w:val="single" w:color="ffffff" w:sz="4" w:space="10"/>
        <w:bottom w:val="single" w:color="ffffff" w:sz="4" w:space="5"/>
        <w:right w:val="single" w:color="ffffff" w:sz="4" w:space="10"/>
      </w:pBdr>
      <w:shd w:val="clear" w:color="auto" w:fill="f2f2f2"/>
      <w:spacing/>
      <w:ind w:right="720" w:left="720"/>
      <w:contextualSpacing w:val="false"/>
    </w:pPr>
    <w:rPr>
      <w:i/>
    </w:rPr>
  </w:style>
  <w:style w:type="character" w:styleId="41">
    <w:name w:val="Intense Quote Char"/>
    <w:link w:val="40"/>
    <w:uiPriority w:val="30"/>
    <w:pPr>
      <w:pBdr/>
      <w:spacing/>
      <w:ind/>
    </w:pPr>
    <w:rPr>
      <w:i/>
    </w:rPr>
  </w:style>
  <w:style w:type="character" w:styleId="43">
    <w:name w:val="Header Char"/>
    <w:basedOn w:val="676"/>
    <w:link w:val="681"/>
    <w:uiPriority w:val="99"/>
    <w:pPr>
      <w:pBdr/>
      <w:spacing/>
      <w:ind/>
    </w:pPr>
  </w:style>
  <w:style w:type="character" w:styleId="45">
    <w:name w:val="Footer Char"/>
    <w:basedOn w:val="676"/>
    <w:link w:val="680"/>
    <w:uiPriority w:val="99"/>
    <w:pPr>
      <w:pBdr/>
      <w:spacing/>
      <w:ind/>
    </w:pPr>
  </w:style>
  <w:style w:type="paragraph" w:styleId="46">
    <w:name w:val="Caption"/>
    <w:basedOn w:val="675"/>
    <w:next w:val="675"/>
    <w:uiPriority w:val="35"/>
    <w:semiHidden/>
    <w:unhideWhenUsed/>
    <w:qFormat/>
    <w:pPr>
      <w:pBdr/>
      <w:spacing w:line="276" w:lineRule="auto"/>
      <w:ind/>
    </w:pPr>
    <w:rPr>
      <w:b/>
      <w:bCs/>
      <w:color w:val="4f81bd" w:themeColor="accent1"/>
      <w:sz w:val="18"/>
      <w:szCs w:val="18"/>
    </w:rPr>
  </w:style>
  <w:style w:type="character" w:styleId="47">
    <w:name w:val="Caption Char"/>
    <w:basedOn w:val="46"/>
    <w:link w:val="680"/>
    <w:uiPriority w:val="99"/>
    <w:pPr>
      <w:pBdr/>
      <w:spacing/>
      <w:ind/>
    </w:pPr>
  </w:style>
  <w:style w:type="table" w:styleId="48">
    <w:name w:val="Table Grid"/>
    <w:basedOn w:val="677"/>
    <w:uiPriority w:val="59"/>
    <w:pPr>
      <w:pBdr/>
      <w:spacing w:after="0" w:line="240" w:lineRule="auto"/>
      <w:ind/>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49">
    <w:name w:val="Table Grid Light"/>
    <w:basedOn w:val="677"/>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0">
    <w:name w:val="Plain Table 1"/>
    <w:basedOn w:val="677"/>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1">
    <w:name w:val="Plain Table 2"/>
    <w:basedOn w:val="677"/>
    <w:uiPriority w:val="59"/>
    <w:pPr>
      <w:pBdr/>
      <w:spacing w:after="0" w:line="240" w:lineRule="auto"/>
      <w:ind/>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cPr>
      <w:tcBorders/>
    </w:tcPr>
    <w:tblStylePr w:type="band1Horz">
      <w:pPr>
        <w:pBdr/>
        <w:spacing/>
        <w:ind/>
      </w:pPr>
      <w:tblPr>
        <w:tblBorders/>
      </w:tblPr>
      <w:tcPr>
        <w:tcBorders>
          <w:top w:val="single" w:color="000000" w:themeColor="text1" w:sz="4" w:space="0"/>
          <w:bottom w:val="single" w:color="000000" w:themeColor="text1" w:sz="4" w:space="0"/>
        </w:tcBorders>
      </w:tcPr>
    </w:tblStylePr>
    <w:tblStylePr w:type="band1Vert">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left w:val="single" w:color="000000" w:themeColor="text1" w:sz="4" w:space="0"/>
          <w:right w:val="single" w:color="000000" w:themeColor="text1" w:sz="4" w:space="0"/>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sz="4" w:space="0"/>
          <w:bottom w:val="single" w:color="000000" w:themeColor="text1"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2">
    <w:name w:val="Plain Table 3"/>
    <w:basedOn w:val="677"/>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aps/>
        <w:color w:val="404040"/>
      </w:rPr>
      <w:pPr>
        <w:pBdr/>
        <w:spacing/>
        <w:ind/>
      </w:pPr>
      <w:tblPr>
        <w:tblBorders/>
      </w:tbl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pPr>
        <w:pBdr/>
        <w:spacing/>
        <w:ind/>
      </w:pPr>
      <w:tblPr>
        <w:tblBorders/>
      </w:tbl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pPr>
        <w:pBdr/>
        <w:spacing/>
        <w:ind/>
      </w:pPr>
      <w:tblPr>
        <w:tblBorders/>
      </w:tblPr>
      <w:tcPr>
        <w:tcBorders/>
      </w:tcPr>
    </w:tblStylePr>
    <w:tblStylePr w:type="lastRow">
      <w:rPr>
        <w:b/>
        <w:caps/>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3">
    <w:name w:val="Plain Table 4"/>
    <w:basedOn w:val="677"/>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4">
    <w:name w:val="Plain Table 5"/>
    <w:basedOn w:val="677"/>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right w:val="single" w:color="404040" w:sz="4" w:space="0"/>
        </w:tcBorders>
      </w:tcPr>
    </w:tblStylePr>
    <w:tblStylePr w:type="firstRow">
      <w:rPr>
        <w:i/>
        <w:color w:val="404040"/>
      </w:rPr>
      <w:pPr>
        <w:pBdr/>
        <w:spacing/>
        <w:ind/>
      </w:pPr>
      <w:tblPr>
        <w:tblBorders/>
      </w:tblPr>
      <w:tcPr>
        <w:shd w:val="clear" w:color="ffffff"/>
        <w:tcBorders>
          <w:left w:val="none" w:color="000000" w:sz="4" w:space="0"/>
          <w:bottom w:val="single" w:color="404040" w:sz="4" w:space="0"/>
          <w:right w:val="none" w:color="000000" w:sz="4" w:space="0"/>
        </w:tcBorders>
      </w:tcPr>
    </w:tblStylePr>
    <w:tblStylePr w:type="lastCol">
      <w:rPr>
        <w:i/>
        <w:color w:val="404040"/>
      </w:rPr>
      <w:pPr>
        <w:pBdr/>
        <w:spacing/>
        <w:ind/>
      </w:pPr>
      <w:tblPr>
        <w:tblBorders/>
      </w:tblPr>
      <w:tcPr>
        <w:shd w:val="clear" w:color="ffffff"/>
        <w:tcBorders>
          <w:left w:val="single" w:color="404040" w:sz="4" w:space="0"/>
        </w:tcBorders>
      </w:tcPr>
    </w:tblStylePr>
    <w:tblStylePr w:type="lastRow">
      <w:rPr>
        <w:i/>
        <w:color w:val="404040"/>
      </w:rPr>
      <w:pPr>
        <w:pBdr/>
        <w:spacing/>
        <w:ind/>
      </w:pPr>
      <w:tblPr>
        <w:tblBorders/>
      </w:tblPr>
      <w:tcPr>
        <w:shd w:val="clear" w:color="ffffff"/>
        <w:tcBorders>
          <w:top w:val="single" w:color="404040" w:sz="4" w:space="0"/>
          <w:left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5">
    <w:name w:val="Grid Table 1 Light"/>
    <w:basedOn w:val="677"/>
    <w:uiPriority w:val="99"/>
    <w:pPr>
      <w:pBdr/>
      <w:spacing w:after="0" w:line="240" w:lineRule="auto"/>
      <w:ind/>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tex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6">
    <w:name w:val="Grid Table 1 Light - Accent 1"/>
    <w:basedOn w:val="677"/>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7">
    <w:name w:val="Grid Table 1 Light - Accent 2"/>
    <w:basedOn w:val="677"/>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2"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8">
    <w:name w:val="Grid Table 1 Light - Accent 3"/>
    <w:basedOn w:val="677"/>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3"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9">
    <w:name w:val="Grid Table 1 Light - Accent 4"/>
    <w:basedOn w:val="677"/>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4"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0">
    <w:name w:val="Grid Table 1 Light - Accent 5"/>
    <w:basedOn w:val="677"/>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5"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1">
    <w:name w:val="Grid Table 1 Light - Accent 6"/>
    <w:basedOn w:val="677"/>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6"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2">
    <w:name w:val="Grid Table 2"/>
    <w:basedOn w:val="677"/>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text1" w:themeTint="9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3">
    <w:name w:val="Grid Table 2 - Accent 1"/>
    <w:basedOn w:val="677"/>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9e2f2"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9e2f2"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1" w:themeTint="E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4">
    <w:name w:val="Grid Table 2 - Accent 2"/>
    <w:basedOn w:val="677"/>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2" w:themeTint="97"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5">
    <w:name w:val="Grid Table 2 - Accent 3"/>
    <w:basedOn w:val="677"/>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3" w:themeTint="FE"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6">
    <w:name w:val="Grid Table 2 - Accent 4"/>
    <w:basedOn w:val="677"/>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4"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7">
    <w:name w:val="Grid Table 2 - Accent 5"/>
    <w:basedOn w:val="677"/>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debf6"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debf6"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8">
    <w:name w:val="Grid Table 2 - Accent 6"/>
    <w:basedOn w:val="677"/>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9">
    <w:name w:val="Grid Table 3"/>
    <w:basedOn w:val="677"/>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0">
    <w:name w:val="Grid Table 3 - Accent 1"/>
    <w:basedOn w:val="677"/>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9e2f2"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9e2f2"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1">
    <w:name w:val="Grid Table 3 - Accent 2"/>
    <w:basedOn w:val="677"/>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2">
    <w:name w:val="Grid Table 3 - Accent 3"/>
    <w:basedOn w:val="677"/>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3">
    <w:name w:val="Grid Table 3 - Accent 4"/>
    <w:basedOn w:val="677"/>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4">
    <w:name w:val="Grid Table 3 - Accent 5"/>
    <w:basedOn w:val="677"/>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debf6"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debf6"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
    <w:name w:val="Grid Table 3 - Accent 6"/>
    <w:basedOn w:val="677"/>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
    <w:name w:val="Grid Table 4"/>
    <w:basedOn w:val="677"/>
    <w:uiPriority w:val="59"/>
    <w:pPr>
      <w:pBdr/>
      <w:spacing w:after="0" w:line="240" w:lineRule="auto"/>
      <w:ind/>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
    <w:name w:val="Grid Table 4 - Accent 1"/>
    <w:basedOn w:val="677"/>
    <w:uiPriority w:val="5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32" w:fill="dae3f3" w:themeFill="accent1" w:themeFillTint="32"/>
        <w:tcBorders/>
      </w:tcPr>
    </w:tblStylePr>
    <w:tblStylePr w:type="band1Vert">
      <w:rPr>
        <w:rFonts w:ascii="Arial" w:hAnsi="Arial"/>
        <w:color w:val="404040"/>
        <w:sz w:val="22"/>
      </w:rPr>
      <w:pPr>
        <w:pBdr/>
        <w:spacing/>
        <w:ind/>
      </w:pPr>
      <w:tblPr>
        <w:tblBorders/>
      </w:tblPr>
      <w:tcPr>
        <w:shd w:val="clear" w:color="ffffff" w:themeColor="accent1" w:themeTint="32" w:fill="dae3f3" w:themeFill="accent1"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themeTint="EA" w:fill="537fc8"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themeTint="E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
    <w:name w:val="Grid Table 4 - Accent 2"/>
    <w:basedOn w:val="677"/>
    <w:uiPriority w:val="5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f4b185"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9">
    <w:name w:val="Grid Table 4 - Accent 3"/>
    <w:basedOn w:val="677"/>
    <w:uiPriority w:val="5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FE" w:fill="a5a5a5"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themeTint="FE"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
    <w:name w:val="Grid Table 4 - Accent 4"/>
    <w:basedOn w:val="677"/>
    <w:uiPriority w:val="5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ffd864"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
    <w:name w:val="Grid Table 4 - Accent 5"/>
    <w:basedOn w:val="677"/>
    <w:uiPriority w:val="5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debf6"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debf6"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5b9bd5"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
    <w:name w:val="Grid Table 4 - Accent 6"/>
    <w:basedOn w:val="677"/>
    <w:uiPriority w:val="5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70ad47"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3">
    <w:name w:val="Grid Table 5 Dark"/>
    <w:basedOn w:val="677"/>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cPr>
      <w:tcBorders/>
    </w:tcPr>
    <w:tblStylePr w:type="band1Horz">
      <w:pPr>
        <w:pBdr/>
        <w:spacing/>
        <w:ind/>
      </w:pPr>
      <w:tblPr>
        <w:tblBorders/>
      </w:tblPr>
      <w:tcPr>
        <w:shd w:val="clear" w:color="ffffff" w:themeColor="text1" w:themeTint="75" w:fill="8a8a8a" w:themeFill="text1" w:themeFillTint="75"/>
        <w:tcBorders/>
      </w:tcPr>
    </w:tblStylePr>
    <w:tblStylePr w:type="band1Vert">
      <w:pPr>
        <w:pBdr/>
        <w:spacing/>
        <w:ind/>
      </w:pPr>
      <w:tblPr>
        <w:tblBorders/>
      </w:tblPr>
      <w:tcPr>
        <w:shd w:val="clear" w:color="ffffff" w:themeColor="text1" w:themeTint="75" w:fill="8a8a8a" w:themeFill="tex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text1" w:fill="000000" w:themeFill="text1"/>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rFonts w:ascii="Arial" w:hAnsi="Arial"/>
        <w:b/>
        <w:color w:val="ffffff"/>
        <w:sz w:val="22"/>
      </w:rPr>
      <w:pPr>
        <w:pBdr/>
        <w:spacing/>
        <w:ind/>
      </w:pPr>
      <w:tblPr>
        <w:tblBorders/>
      </w:tblPr>
      <w:tcPr>
        <w:shd w:val="clear" w:color="ffffff" w:themeColor="text1" w:fill="000000" w:themeFill="text1"/>
        <w:tcBorders/>
      </w:tcPr>
    </w:tblStylePr>
    <w:tblStylePr w:type="lastRow">
      <w:rPr>
        <w:rFonts w:ascii="Arial" w:hAnsi="Arial"/>
        <w:b/>
        <w:color w:val="ffffff"/>
        <w:sz w:val="22"/>
      </w:rPr>
      <w:pPr>
        <w:pBdr/>
        <w:spacing/>
        <w:ind/>
      </w:pPr>
      <w:tblPr>
        <w:tblBorders/>
      </w:tblPr>
      <w:tcPr>
        <w:shd w:val="clear" w:color="ffffff" w:themeColor="text1" w:fill="000000" w:themeFill="tex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
    <w:name w:val="Grid Table 5 Dark- Accent 1"/>
    <w:basedOn w:val="677"/>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9e2f2" w:themeFill="accent1" w:themeFillTint="34"/>
    </w:tblPr>
    <w:tcPr>
      <w:tcBorders/>
    </w:tcPr>
    <w:tblStylePr w:type="band1Horz">
      <w:pPr>
        <w:pBdr/>
        <w:spacing/>
        <w:ind/>
      </w:pPr>
      <w:tblPr>
        <w:tblBorders/>
      </w:tblPr>
      <w:tcPr>
        <w:shd w:val="clear" w:color="ffffff" w:themeColor="accent1" w:themeTint="75" w:fill="aabfe3" w:themeFill="accent1" w:themeFillTint="75"/>
        <w:tcBorders/>
      </w:tcPr>
    </w:tblStylePr>
    <w:tblStylePr w:type="band1Vert">
      <w:pPr>
        <w:pBdr/>
        <w:spacing/>
        <w:ind/>
      </w:pPr>
      <w:tblPr>
        <w:tblBorders/>
      </w:tblPr>
      <w:tcPr>
        <w:shd w:val="clear" w:color="ffffff" w:themeColor="accent1" w:themeTint="75" w:fill="aabfe3" w:themeFill="accen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1" w:fill="4472c4" w:themeFill="accent1"/>
        <w:tcBorders/>
      </w:tcPr>
    </w:tblStylePr>
    <w:tblStylePr w:type="firstRow">
      <w:rPr>
        <w:rFonts w:ascii="Arial" w:hAnsi="Arial"/>
        <w:b/>
        <w:color w:val="ffffff"/>
        <w:sz w:val="22"/>
      </w:rPr>
      <w:pPr>
        <w:pBdr/>
        <w:spacing/>
        <w:ind/>
      </w:pPr>
      <w:tblPr>
        <w:tblBorders/>
      </w:tblPr>
      <w:tcPr>
        <w:shd w:val="clear" w:color="ffffff" w:themeColor="accent1" w:fill="4472c4" w:themeFill="accent1"/>
        <w:tcBorders/>
      </w:tcPr>
    </w:tblStylePr>
    <w:tblStylePr w:type="lastCol">
      <w:rPr>
        <w:rFonts w:ascii="Arial" w:hAnsi="Arial"/>
        <w:b/>
        <w:color w:val="ffffff"/>
        <w:sz w:val="22"/>
      </w:rPr>
      <w:pPr>
        <w:pBdr/>
        <w:spacing/>
        <w:ind/>
      </w:pPr>
      <w:tblPr>
        <w:tblBorders/>
      </w:tblPr>
      <w:tcPr>
        <w:shd w:val="clear" w:color="ffffff" w:themeColor="accent1" w:fill="4472c4" w:themeFill="accent1"/>
        <w:tcBorders/>
      </w:tcPr>
    </w:tblStylePr>
    <w:tblStylePr w:type="lastRow">
      <w:rPr>
        <w:rFonts w:ascii="Arial" w:hAnsi="Arial"/>
        <w:b/>
        <w:color w:val="ffffff"/>
        <w:sz w:val="22"/>
      </w:rPr>
      <w:pPr>
        <w:pBdr/>
        <w:spacing/>
        <w:ind/>
      </w:pPr>
      <w:tblPr>
        <w:tblBorders/>
      </w:tblPr>
      <w:tcPr>
        <w:shd w:val="clear" w:color="ffffff" w:themeColor="accent1" w:fill="4472c4" w:themeFill="accen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5">
    <w:name w:val="Grid Table 5 Dark - Accent 2"/>
    <w:basedOn w:val="677"/>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be5d6" w:themeFill="accent2" w:themeFillTint="32"/>
    </w:tblPr>
    <w:tcPr>
      <w:tcBorders/>
    </w:tcPr>
    <w:tblStylePr w:type="band1Horz">
      <w:pPr>
        <w:pBdr/>
        <w:spacing/>
        <w:ind/>
      </w:pPr>
      <w:tblPr>
        <w:tblBorders/>
      </w:tblPr>
      <w:tcPr>
        <w:shd w:val="clear" w:color="ffffff" w:themeColor="accent2" w:themeTint="75" w:fill="f6c3a1" w:themeFill="accent2" w:themeFillTint="75"/>
        <w:tcBorders/>
      </w:tcPr>
    </w:tblStylePr>
    <w:tblStylePr w:type="band1Vert">
      <w:pPr>
        <w:pBdr/>
        <w:spacing/>
        <w:ind/>
      </w:pPr>
      <w:tblPr>
        <w:tblBorders/>
      </w:tblPr>
      <w:tcPr>
        <w:shd w:val="clear" w:color="ffffff" w:themeColor="accent2" w:themeTint="75" w:fill="f6c3a1" w:themeFill="accent2"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2" w:fill="ed7d31" w:themeFill="accent2"/>
        <w:tcBorders/>
      </w:tcPr>
    </w:tblStylePr>
    <w:tblStylePr w:type="firstRow">
      <w:rPr>
        <w:rFonts w:ascii="Arial" w:hAnsi="Arial"/>
        <w:b/>
        <w:color w:val="ffffff"/>
        <w:sz w:val="22"/>
      </w:rPr>
      <w:pPr>
        <w:pBdr/>
        <w:spacing/>
        <w:ind/>
      </w:pPr>
      <w:tblPr>
        <w:tblBorders/>
      </w:tblPr>
      <w:tcPr>
        <w:shd w:val="clear" w:color="ffffff" w:themeColor="accent2" w:fill="ed7d31" w:themeFill="accent2"/>
        <w:tcBorders/>
      </w:tcPr>
    </w:tblStylePr>
    <w:tblStylePr w:type="lastCol">
      <w:rPr>
        <w:rFonts w:ascii="Arial" w:hAnsi="Arial"/>
        <w:b/>
        <w:color w:val="ffffff"/>
        <w:sz w:val="22"/>
      </w:rPr>
      <w:pPr>
        <w:pBdr/>
        <w:spacing/>
        <w:ind/>
      </w:pPr>
      <w:tblPr>
        <w:tblBorders/>
      </w:tblPr>
      <w:tcPr>
        <w:shd w:val="clear" w:color="ffffff" w:themeColor="accent2" w:fill="ed7d31" w:themeFill="accent2"/>
        <w:tcBorders/>
      </w:tcPr>
    </w:tblStylePr>
    <w:tblStylePr w:type="lastRow">
      <w:rPr>
        <w:rFonts w:ascii="Arial" w:hAnsi="Arial"/>
        <w:b/>
        <w:color w:val="ffffff"/>
        <w:sz w:val="22"/>
      </w:rPr>
      <w:pPr>
        <w:pBdr/>
        <w:spacing/>
        <w:ind/>
      </w:pPr>
      <w:tblPr>
        <w:tblBorders/>
      </w:tblPr>
      <w:tcPr>
        <w:shd w:val="clear" w:color="ffffff" w:themeColor="accent2" w:fill="ed7d31" w:themeFill="accent2"/>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
    <w:name w:val="Grid Table 5 Dark - Accent 3"/>
    <w:basedOn w:val="677"/>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deded" w:themeFill="accent3" w:themeFillTint="34"/>
    </w:tblPr>
    <w:tcPr>
      <w:tcBorders/>
    </w:tcPr>
    <w:tblStylePr w:type="band1Horz">
      <w:pPr>
        <w:pBdr/>
        <w:spacing/>
        <w:ind/>
      </w:pPr>
      <w:tblPr>
        <w:tblBorders/>
      </w:tblPr>
      <w:tcPr>
        <w:shd w:val="clear" w:color="ffffff" w:themeColor="accent3" w:themeTint="75" w:fill="d6d6d6" w:themeFill="accent3" w:themeFillTint="75"/>
        <w:tcBorders/>
      </w:tcPr>
    </w:tblStylePr>
    <w:tblStylePr w:type="band1Vert">
      <w:pPr>
        <w:pBdr/>
        <w:spacing/>
        <w:ind/>
      </w:pPr>
      <w:tblPr>
        <w:tblBorders/>
      </w:tblPr>
      <w:tcPr>
        <w:shd w:val="clear" w:color="ffffff" w:themeColor="accent3" w:themeTint="75" w:fill="d6d6d6" w:themeFill="accent3"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3" w:fill="a5a5a5" w:themeFill="accent3"/>
        <w:tcBorders/>
      </w:tcPr>
    </w:tblStylePr>
    <w:tblStylePr w:type="firstRow">
      <w:rPr>
        <w:rFonts w:ascii="Arial" w:hAnsi="Arial"/>
        <w:b/>
        <w:color w:val="ffffff"/>
        <w:sz w:val="22"/>
      </w:rPr>
      <w:pPr>
        <w:pBdr/>
        <w:spacing/>
        <w:ind/>
      </w:pPr>
      <w:tblPr>
        <w:tblBorders/>
      </w:tblPr>
      <w:tcPr>
        <w:shd w:val="clear" w:color="ffffff" w:themeColor="accent3" w:fill="a5a5a5" w:themeFill="accent3"/>
        <w:tcBorders/>
      </w:tcPr>
    </w:tblStylePr>
    <w:tblStylePr w:type="lastCol">
      <w:rPr>
        <w:rFonts w:ascii="Arial" w:hAnsi="Arial"/>
        <w:b/>
        <w:color w:val="ffffff"/>
        <w:sz w:val="22"/>
      </w:rPr>
      <w:pPr>
        <w:pBdr/>
        <w:spacing/>
        <w:ind/>
      </w:pPr>
      <w:tblPr>
        <w:tblBorders/>
      </w:tblPr>
      <w:tcPr>
        <w:shd w:val="clear" w:color="ffffff" w:themeColor="accent3" w:fill="a5a5a5" w:themeFill="accent3"/>
        <w:tcBorders/>
      </w:tcPr>
    </w:tblStylePr>
    <w:tblStylePr w:type="lastRow">
      <w:rPr>
        <w:rFonts w:ascii="Arial" w:hAnsi="Arial"/>
        <w:b/>
        <w:color w:val="ffffff"/>
        <w:sz w:val="22"/>
      </w:rPr>
      <w:pPr>
        <w:pBdr/>
        <w:spacing/>
        <w:ind/>
      </w:pPr>
      <w:tblPr>
        <w:tblBorders/>
      </w:tblPr>
      <w:tcPr>
        <w:shd w:val="clear" w:color="ffffff" w:themeColor="accent3" w:fill="a5a5a5" w:themeFill="accent3"/>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7">
    <w:name w:val="Grid Table 5 Dark- Accent 4"/>
    <w:basedOn w:val="677"/>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fef2cb" w:themeFill="accent4" w:themeFillTint="34"/>
    </w:tblPr>
    <w:tcPr>
      <w:tcBorders/>
    </w:tcPr>
    <w:tblStylePr w:type="band1Horz">
      <w:pPr>
        <w:pBdr/>
        <w:spacing/>
        <w:ind/>
      </w:pPr>
      <w:tblPr>
        <w:tblBorders/>
      </w:tblPr>
      <w:tcPr>
        <w:shd w:val="clear" w:color="ffffff" w:themeColor="accent4" w:themeTint="75" w:fill="fee189" w:themeFill="accent4" w:themeFillTint="75"/>
        <w:tcBorders/>
      </w:tcPr>
    </w:tblStylePr>
    <w:tblStylePr w:type="band1Vert">
      <w:pPr>
        <w:pBdr/>
        <w:spacing/>
        <w:ind/>
      </w:pPr>
      <w:tblPr>
        <w:tblBorders/>
      </w:tblPr>
      <w:tcPr>
        <w:shd w:val="clear" w:color="ffffff" w:themeColor="accent4" w:themeTint="75" w:fill="fee189" w:themeFill="accent4"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4" w:fill="ffc000" w:themeFill="accent4"/>
        <w:tcBorders/>
      </w:tcPr>
    </w:tblStylePr>
    <w:tblStylePr w:type="firstRow">
      <w:rPr>
        <w:rFonts w:ascii="Arial" w:hAnsi="Arial"/>
        <w:b/>
        <w:color w:val="ffffff"/>
        <w:sz w:val="22"/>
      </w:rPr>
      <w:pPr>
        <w:pBdr/>
        <w:spacing/>
        <w:ind/>
      </w:pPr>
      <w:tblPr>
        <w:tblBorders/>
      </w:tblPr>
      <w:tcPr>
        <w:shd w:val="clear" w:color="ffffff" w:themeColor="accent4" w:fill="ffc000" w:themeFill="accent4"/>
        <w:tcBorders/>
      </w:tcPr>
    </w:tblStylePr>
    <w:tblStylePr w:type="lastCol">
      <w:rPr>
        <w:rFonts w:ascii="Arial" w:hAnsi="Arial"/>
        <w:b/>
        <w:color w:val="ffffff"/>
        <w:sz w:val="22"/>
      </w:rPr>
      <w:pPr>
        <w:pBdr/>
        <w:spacing/>
        <w:ind/>
      </w:pPr>
      <w:tblPr>
        <w:tblBorders/>
      </w:tblPr>
      <w:tcPr>
        <w:shd w:val="clear" w:color="ffffff" w:themeColor="accent4" w:fill="ffc000" w:themeFill="accent4"/>
        <w:tcBorders/>
      </w:tcPr>
    </w:tblStylePr>
    <w:tblStylePr w:type="lastRow">
      <w:rPr>
        <w:rFonts w:ascii="Arial" w:hAnsi="Arial"/>
        <w:b/>
        <w:color w:val="ffffff"/>
        <w:sz w:val="22"/>
      </w:rPr>
      <w:pPr>
        <w:pBdr/>
        <w:spacing/>
        <w:ind/>
      </w:pPr>
      <w:tblPr>
        <w:tblBorders/>
      </w:tblPr>
      <w:tcPr>
        <w:shd w:val="clear" w:color="ffffff" w:themeColor="accent4" w:fill="ffc000" w:themeFill="accent4"/>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8">
    <w:name w:val="Grid Table 5 Dark - Accent 5"/>
    <w:basedOn w:val="677"/>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debf6" w:themeFill="accent5" w:themeFillTint="34"/>
    </w:tblPr>
    <w:tcPr>
      <w:tcBorders/>
    </w:tcPr>
    <w:tblStylePr w:type="band1Horz">
      <w:pPr>
        <w:pBdr/>
        <w:spacing/>
        <w:ind/>
      </w:pPr>
      <w:tblPr>
        <w:tblBorders/>
      </w:tblPr>
      <w:tcPr>
        <w:shd w:val="clear" w:color="ffffff" w:themeColor="accent5" w:themeTint="75" w:fill="b4d2eb" w:themeFill="accent5" w:themeFillTint="75"/>
        <w:tcBorders/>
      </w:tcPr>
    </w:tblStylePr>
    <w:tblStylePr w:type="band1Vert">
      <w:pPr>
        <w:pBdr/>
        <w:spacing/>
        <w:ind/>
      </w:pPr>
      <w:tblPr>
        <w:tblBorders/>
      </w:tblPr>
      <w:tcPr>
        <w:shd w:val="clear" w:color="ffffff" w:themeColor="accent5" w:themeTint="75" w:fill="b4d2eb" w:themeFill="accent5"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5" w:fill="5b9bd5" w:themeFill="accent5"/>
        <w:tcBorders/>
      </w:tcPr>
    </w:tblStylePr>
    <w:tblStylePr w:type="firstRow">
      <w:rPr>
        <w:rFonts w:ascii="Arial" w:hAnsi="Arial"/>
        <w:b/>
        <w:color w:val="ffffff"/>
        <w:sz w:val="22"/>
      </w:rPr>
      <w:pPr>
        <w:pBdr/>
        <w:spacing/>
        <w:ind/>
      </w:pPr>
      <w:tblPr>
        <w:tblBorders/>
      </w:tblPr>
      <w:tcPr>
        <w:shd w:val="clear" w:color="ffffff" w:themeColor="accent5" w:fill="5b9bd5" w:themeFill="accent5"/>
        <w:tcBorders/>
      </w:tcPr>
    </w:tblStylePr>
    <w:tblStylePr w:type="lastCol">
      <w:rPr>
        <w:rFonts w:ascii="Arial" w:hAnsi="Arial"/>
        <w:b/>
        <w:color w:val="ffffff"/>
        <w:sz w:val="22"/>
      </w:rPr>
      <w:pPr>
        <w:pBdr/>
        <w:spacing/>
        <w:ind/>
      </w:pPr>
      <w:tblPr>
        <w:tblBorders/>
      </w:tblPr>
      <w:tcPr>
        <w:shd w:val="clear" w:color="ffffff" w:themeColor="accent5" w:fill="5b9bd5" w:themeFill="accent5"/>
        <w:tcBorders/>
      </w:tcPr>
    </w:tblStylePr>
    <w:tblStylePr w:type="lastRow">
      <w:rPr>
        <w:rFonts w:ascii="Arial" w:hAnsi="Arial"/>
        <w:b/>
        <w:color w:val="ffffff"/>
        <w:sz w:val="22"/>
      </w:rPr>
      <w:pPr>
        <w:pBdr/>
        <w:spacing/>
        <w:ind/>
      </w:pPr>
      <w:tblPr>
        <w:tblBorders/>
      </w:tblPr>
      <w:tcPr>
        <w:shd w:val="clear" w:color="ffffff" w:themeColor="accent5" w:fill="5b9bd5" w:themeFill="accent5"/>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9">
    <w:name w:val="Grid Table 5 Dark - Accent 6"/>
    <w:basedOn w:val="677"/>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e2efd8" w:themeFill="accent6" w:themeFillTint="34"/>
    </w:tblPr>
    <w:tcPr>
      <w:tcBorders/>
    </w:tcPr>
    <w:tblStylePr w:type="band1Horz">
      <w:pPr>
        <w:pBdr/>
        <w:spacing/>
        <w:ind/>
      </w:pPr>
      <w:tblPr>
        <w:tblBorders/>
      </w:tblPr>
      <w:tcPr>
        <w:shd w:val="clear" w:color="ffffff" w:themeColor="accent6" w:themeTint="75" w:fill="bedba8" w:themeFill="accent6" w:themeFillTint="75"/>
        <w:tcBorders/>
      </w:tcPr>
    </w:tblStylePr>
    <w:tblStylePr w:type="band1Vert">
      <w:pPr>
        <w:pBdr/>
        <w:spacing/>
        <w:ind/>
      </w:pPr>
      <w:tblPr>
        <w:tblBorders/>
      </w:tblPr>
      <w:tcPr>
        <w:shd w:val="clear" w:color="ffffff" w:themeColor="accent6" w:themeTint="75" w:fill="bedba8" w:themeFill="accent6"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6" w:fill="70ad47" w:themeFill="accent6"/>
        <w:tcBorders/>
      </w:tcPr>
    </w:tblStylePr>
    <w:tblStylePr w:type="firstRow">
      <w:rPr>
        <w:rFonts w:ascii="Arial" w:hAnsi="Arial"/>
        <w:b/>
        <w:color w:val="ffffff"/>
        <w:sz w:val="22"/>
      </w:rPr>
      <w:pPr>
        <w:pBdr/>
        <w:spacing/>
        <w:ind/>
      </w:pPr>
      <w:tblPr>
        <w:tblBorders/>
      </w:tblPr>
      <w:tcPr>
        <w:shd w:val="clear" w:color="ffffff" w:themeColor="accent6" w:fill="70ad47" w:themeFill="accent6"/>
        <w:tcBorders/>
      </w:tcPr>
    </w:tblStylePr>
    <w:tblStylePr w:type="lastCol">
      <w:rPr>
        <w:rFonts w:ascii="Arial" w:hAnsi="Arial"/>
        <w:b/>
        <w:color w:val="ffffff"/>
        <w:sz w:val="22"/>
      </w:rPr>
      <w:pPr>
        <w:pBdr/>
        <w:spacing/>
        <w:ind/>
      </w:pPr>
      <w:tblPr>
        <w:tblBorders/>
      </w:tblPr>
      <w:tcPr>
        <w:shd w:val="clear" w:color="ffffff" w:themeColor="accent6" w:fill="70ad47" w:themeFill="accent6"/>
        <w:tcBorders/>
      </w:tcPr>
    </w:tblStylePr>
    <w:tblStylePr w:type="lastRow">
      <w:rPr>
        <w:rFonts w:ascii="Arial" w:hAnsi="Arial"/>
        <w:b/>
        <w:color w:val="ffffff"/>
        <w:sz w:val="22"/>
      </w:rPr>
      <w:pPr>
        <w:pBdr/>
        <w:spacing/>
        <w:ind/>
      </w:pPr>
      <w:tblPr>
        <w:tblBorders/>
      </w:tblPr>
      <w:tcPr>
        <w:shd w:val="clear" w:color="ffffff" w:themeColor="accent6" w:fill="70ad47" w:themeFill="accent6"/>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0">
    <w:name w:val="Grid Table 6 Colorful"/>
    <w:basedOn w:val="677"/>
    <w:uiPriority w:val="99"/>
    <w:pPr>
      <w:pBdr/>
      <w:spacing w:after="0" w:line="240" w:lineRule="auto"/>
      <w:ind/>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04040" w:themeColor="text1" w:themeTint="80" w:themeShade="95"/>
        <w:sz w:val="22"/>
      </w:rPr>
      <w:pPr>
        <w:pBdr/>
        <w:spacing/>
        <w:ind/>
      </w:pPr>
      <w:tblPr>
        <w:tblBorders/>
      </w:tblPr>
      <w:tcPr>
        <w:shd w:val="clear" w:color="ffffff" w:themeColor="text1" w:themeTint="34" w:fill="cbcbcb" w:themeFill="text1" w:themeFillTint="34"/>
        <w:tcBorders/>
      </w:tcPr>
    </w:tblStylePr>
    <w:tblStylePr w:type="band1Vert">
      <w:pPr>
        <w:pBdr/>
        <w:spacing/>
        <w:ind/>
      </w:pPr>
      <w:tblPr>
        <w:tblBorders/>
      </w:tblPr>
      <w:tcPr>
        <w:shd w:val="clear" w:color="ffffff" w:themeColor="text1" w:themeTint="34" w:fill="cbcbcb" w:themeFill="text1" w:themeFillTint="34"/>
        <w:tcBorders/>
      </w:tcPr>
    </w:tblStylePr>
    <w:tblStylePr w:type="band2Horz">
      <w:rPr>
        <w:rFonts w:ascii="Arial" w:hAnsi="Arial"/>
        <w:color w:val="404040"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4a4a4a" w:themeColor="text1" w:themeTint="80" w:themeShade="95"/>
      </w:rPr>
      <w:pPr>
        <w:pBdr/>
        <w:spacing/>
        <w:ind/>
      </w:pPr>
      <w:tblPr>
        <w:tblBorders/>
      </w:tblPr>
      <w:tcPr>
        <w:tcBorders/>
      </w:tcPr>
    </w:tblStylePr>
    <w:tblStylePr w:type="firstRow">
      <w:rPr>
        <w:b/>
        <w:color w:val="4a4a4a" w:themeColor="text1" w:themeTint="80" w:themeShade="95"/>
      </w:rPr>
      <w:pPr>
        <w:pBdr/>
        <w:spacing/>
        <w:ind/>
      </w:pPr>
      <w:tblPr>
        <w:tblBorders/>
      </w:tblPr>
      <w:tcPr>
        <w:tcBorders>
          <w:bottom w:val="single" w:color="000000" w:themeColor="text1" w:themeTint="80" w:sz="12" w:space="0"/>
        </w:tcBorders>
      </w:tcPr>
    </w:tblStylePr>
    <w:tblStylePr w:type="lastCol">
      <w:rPr>
        <w:b/>
        <w:color w:val="4a4a4a" w:themeColor="text1" w:themeTint="80" w:themeShade="95"/>
      </w:rPr>
      <w:pPr>
        <w:pBdr/>
        <w:spacing/>
        <w:ind/>
      </w:pPr>
      <w:tblPr>
        <w:tblBorders/>
      </w:tblPr>
      <w:tcPr>
        <w:tcBorders/>
      </w:tcPr>
    </w:tblStylePr>
    <w:tblStylePr w:type="lastRow">
      <w:rPr>
        <w:b/>
        <w:color w:val="4a4a4a" w:themeColor="tex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text1" w:themeTint="80" w:themeShade="95"/>
        <w:sz w:val="22"/>
      </w:rPr>
      <w:pPr>
        <w:pBdr/>
        <w:spacing/>
        <w:ind/>
      </w:pPr>
      <w:tblPr>
        <w:tblBorders/>
      </w:tblPr>
      <w:tcPr>
        <w:tcBorders/>
      </w:tcPr>
    </w:tblStylePr>
  </w:style>
  <w:style w:type="table" w:styleId="91">
    <w:name w:val="Grid Table 6 Colorful - Accent 1"/>
    <w:basedOn w:val="677"/>
    <w:uiPriority w:val="99"/>
    <w:pPr>
      <w:pBdr/>
      <w:spacing w:after="0" w:line="240" w:lineRule="auto"/>
      <w:ind/>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404040" w:themeColor="accent1" w:themeTint="80" w:themeShade="95"/>
        <w:sz w:val="22"/>
      </w:rPr>
      <w:pPr>
        <w:pBdr/>
        <w:spacing/>
        <w:ind/>
      </w:pPr>
      <w:tblPr>
        <w:tblBorders/>
      </w:tblPr>
      <w:tcPr>
        <w:shd w:val="clear" w:color="ffffff" w:themeColor="accent1" w:themeTint="34" w:fill="d9e2f2" w:themeFill="accent1" w:themeFillTint="34"/>
        <w:tcBorders/>
      </w:tcPr>
    </w:tblStylePr>
    <w:tblStylePr w:type="band1Vert">
      <w:pPr>
        <w:pBdr/>
        <w:spacing/>
        <w:ind/>
      </w:pPr>
      <w:tblPr>
        <w:tblBorders/>
      </w:tblPr>
      <w:tcPr>
        <w:shd w:val="clear" w:color="ffffff" w:themeColor="accent1" w:themeTint="34" w:fill="d9e2f2" w:themeFill="accent1" w:themeFillTint="34"/>
        <w:tcBorders/>
      </w:tcPr>
    </w:tblStylePr>
    <w:tblStylePr w:type="band2Horz">
      <w:rPr>
        <w:rFonts w:ascii="Arial" w:hAnsi="Arial"/>
        <w:color w:val="404040"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3664a9" w:themeColor="accent1" w:themeTint="80" w:themeShade="95"/>
      </w:rPr>
      <w:pPr>
        <w:pBdr/>
        <w:spacing/>
        <w:ind/>
      </w:pPr>
      <w:tblPr>
        <w:tblBorders/>
      </w:tblPr>
      <w:tcPr>
        <w:tcBorders/>
      </w:tcPr>
    </w:tblStylePr>
    <w:tblStylePr w:type="firstRow">
      <w:rPr>
        <w:b/>
        <w:color w:val="3664a9" w:themeColor="accent1" w:themeTint="80" w:themeShade="95"/>
      </w:rPr>
      <w:pPr>
        <w:pBdr/>
        <w:spacing/>
        <w:ind/>
      </w:pPr>
      <w:tblPr>
        <w:tblBorders/>
      </w:tblPr>
      <w:tcPr>
        <w:tcBorders>
          <w:bottom w:val="single" w:color="000000" w:themeColor="accent1" w:themeTint="80" w:sz="12" w:space="0"/>
        </w:tcBorders>
      </w:tcPr>
    </w:tblStylePr>
    <w:tblStylePr w:type="lastCol">
      <w:rPr>
        <w:b/>
        <w:color w:val="3664a9" w:themeColor="accent1" w:themeTint="80" w:themeShade="95"/>
      </w:rPr>
      <w:pPr>
        <w:pBdr/>
        <w:spacing/>
        <w:ind/>
      </w:pPr>
      <w:tblPr>
        <w:tblBorders/>
      </w:tblPr>
      <w:tcPr>
        <w:tcBorders/>
      </w:tcPr>
    </w:tblStylePr>
    <w:tblStylePr w:type="lastRow">
      <w:rPr>
        <w:b/>
        <w:color w:val="3664a9" w:themeColor="accen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1" w:themeTint="80" w:themeShade="95"/>
        <w:sz w:val="22"/>
      </w:rPr>
      <w:pPr>
        <w:pBdr/>
        <w:spacing/>
        <w:ind/>
      </w:pPr>
      <w:tblPr>
        <w:tblBorders/>
      </w:tblPr>
      <w:tcPr>
        <w:tcBorders/>
      </w:tcPr>
    </w:tblStylePr>
  </w:style>
  <w:style w:type="table" w:styleId="92">
    <w:name w:val="Grid Table 6 Colorful - Accent 2"/>
    <w:basedOn w:val="677"/>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32" w:fill="fbe5d6" w:themeFill="accent2" w:themeFillTint="32"/>
        <w:tcBorders/>
      </w:tcPr>
    </w:tblStylePr>
    <w:tblStylePr w:type="band1Vert">
      <w:pPr>
        <w:pBdr/>
        <w:spacing/>
        <w:ind/>
      </w:pPr>
      <w:tblPr>
        <w:tblBorders/>
      </w:tblPr>
      <w:tcPr>
        <w:shd w:val="clear" w:color="ffffff" w:themeColor="accent2" w:themeTint="32" w:fill="fbe5d6" w:themeFill="accent2" w:themeFillTint="32"/>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c95712" w:themeColor="accent2" w:themeTint="97" w:themeShade="95"/>
      </w:rPr>
      <w:pPr>
        <w:pBdr/>
        <w:spacing/>
        <w:ind/>
      </w:pPr>
      <w:tblPr>
        <w:tblBorders/>
      </w:tblPr>
      <w:tcPr>
        <w:tcBorders/>
      </w:tcPr>
    </w:tblStylePr>
    <w:tblStylePr w:type="firstRow">
      <w:rPr>
        <w:b/>
        <w:color w:val="c95712" w:themeColor="accent2" w:themeTint="97" w:themeShade="95"/>
      </w:rPr>
      <w:pPr>
        <w:pBdr/>
        <w:spacing/>
        <w:ind/>
      </w:pPr>
      <w:tblPr>
        <w:tblBorders/>
      </w:tblPr>
      <w:tcPr>
        <w:tcBorders>
          <w:bottom w:val="single" w:color="000000" w:themeColor="accent2" w:themeTint="97" w:sz="12" w:space="0"/>
        </w:tcBorders>
      </w:tcPr>
    </w:tblStylePr>
    <w:tblStylePr w:type="lastCol">
      <w:rPr>
        <w:b/>
        <w:color w:val="c95712" w:themeColor="accent2" w:themeTint="97" w:themeShade="95"/>
      </w:rPr>
      <w:pPr>
        <w:pBdr/>
        <w:spacing/>
        <w:ind/>
      </w:pPr>
      <w:tblPr>
        <w:tblBorders/>
      </w:tblPr>
      <w:tcPr>
        <w:tcBorders/>
      </w:tcPr>
    </w:tblStylePr>
    <w:tblStylePr w:type="lastRow">
      <w:rPr>
        <w:b/>
        <w:color w:val="c95712" w:themeColor="accent2" w:themeTint="97"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2" w:themeTint="97" w:themeShade="95"/>
        <w:sz w:val="22"/>
      </w:rPr>
      <w:pPr>
        <w:pBdr/>
        <w:spacing/>
        <w:ind/>
      </w:pPr>
      <w:tblPr>
        <w:tblBorders/>
      </w:tblPr>
      <w:tcPr>
        <w:tcBorders/>
      </w:tcPr>
    </w:tblStylePr>
  </w:style>
  <w:style w:type="table" w:styleId="93">
    <w:name w:val="Grid Table 6 Colorful - Accent 3"/>
    <w:basedOn w:val="677"/>
    <w:uiPriority w:val="99"/>
    <w:pPr>
      <w:pBdr/>
      <w:spacing w:after="0" w:line="240" w:lineRule="auto"/>
      <w:ind/>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themeColor="accent3" w:themeTint="FE" w:themeShade="95"/>
        <w:sz w:val="22"/>
      </w:rPr>
      <w:pPr>
        <w:pBdr/>
        <w:spacing/>
        <w:ind/>
      </w:pPr>
      <w:tblPr>
        <w:tblBorders/>
      </w:tblPr>
      <w:tcPr>
        <w:shd w:val="clear" w:color="ffffff" w:themeColor="accent3" w:themeTint="34" w:fill="ededed" w:themeFill="accent3" w:themeFillTint="34"/>
        <w:tcBorders/>
      </w:tcPr>
    </w:tblStylePr>
    <w:tblStylePr w:type="band1Vert">
      <w:pPr>
        <w:pBdr/>
        <w:spacing/>
        <w:ind/>
      </w:pPr>
      <w:tblPr>
        <w:tblBorders/>
      </w:tblPr>
      <w:tcPr>
        <w:shd w:val="clear" w:color="ffffff" w:themeColor="accent3" w:themeTint="34" w:fill="ededed" w:themeFill="accent3" w:themeFillTint="34"/>
        <w:tcBorders/>
      </w:tcPr>
    </w:tblStylePr>
    <w:tblStylePr w:type="band2Horz">
      <w:rPr>
        <w:rFonts w:ascii="Arial" w:hAnsi="Arial"/>
        <w:color w:val="404040"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606060" w:themeColor="accent3" w:themeTint="FE" w:themeShade="95"/>
      </w:rPr>
      <w:pPr>
        <w:pBdr/>
        <w:spacing/>
        <w:ind/>
      </w:pPr>
      <w:tblPr>
        <w:tblBorders/>
      </w:tblPr>
      <w:tcPr>
        <w:tcBorders/>
      </w:tcPr>
    </w:tblStylePr>
    <w:tblStylePr w:type="firstRow">
      <w:rPr>
        <w:b/>
        <w:color w:val="606060" w:themeColor="accent3" w:themeTint="FE" w:themeShade="95"/>
      </w:rPr>
      <w:pPr>
        <w:pBdr/>
        <w:spacing/>
        <w:ind/>
      </w:pPr>
      <w:tblPr>
        <w:tblBorders/>
      </w:tblPr>
      <w:tcPr>
        <w:tcBorders>
          <w:bottom w:val="single" w:color="000000" w:themeColor="accent3" w:themeTint="FE" w:sz="12" w:space="0"/>
        </w:tcBorders>
      </w:tcPr>
    </w:tblStylePr>
    <w:tblStylePr w:type="lastCol">
      <w:rPr>
        <w:b/>
        <w:color w:val="606060" w:themeColor="accent3" w:themeTint="FE" w:themeShade="95"/>
      </w:rPr>
      <w:pPr>
        <w:pBdr/>
        <w:spacing/>
        <w:ind/>
      </w:pPr>
      <w:tblPr>
        <w:tblBorders/>
      </w:tblPr>
      <w:tcPr>
        <w:tcBorders/>
      </w:tcPr>
    </w:tblStylePr>
    <w:tblStylePr w:type="lastRow">
      <w:rPr>
        <w:b/>
        <w:color w:val="606060" w:themeColor="accent3" w:themeTint="FE"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3" w:themeTint="FE" w:themeShade="95"/>
        <w:sz w:val="22"/>
      </w:rPr>
      <w:pPr>
        <w:pBdr/>
        <w:spacing/>
        <w:ind/>
      </w:pPr>
      <w:tblPr>
        <w:tblBorders/>
      </w:tblPr>
      <w:tcPr>
        <w:tcBorders/>
      </w:tcPr>
    </w:tblStylePr>
  </w:style>
  <w:style w:type="table" w:styleId="94">
    <w:name w:val="Grid Table 6 Colorful - Accent 4"/>
    <w:basedOn w:val="677"/>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34" w:fill="fef2cb" w:themeFill="accent4" w:themeFillTint="34"/>
        <w:tcBorders/>
      </w:tcPr>
    </w:tblStylePr>
    <w:tblStylePr w:type="band1Vert">
      <w:pPr>
        <w:pBdr/>
        <w:spacing/>
        <w:ind/>
      </w:pPr>
      <w:tblPr>
        <w:tblBorders/>
      </w:tblPr>
      <w:tcPr>
        <w:shd w:val="clear" w:color="ffffff" w:themeColor="accent4" w:themeTint="34" w:fill="fef2cb" w:themeFill="accent4" w:themeFillTint="34"/>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cd9600" w:themeColor="accent4" w:themeTint="9A" w:themeShade="95"/>
      </w:rPr>
      <w:pPr>
        <w:pBdr/>
        <w:spacing/>
        <w:ind/>
      </w:pPr>
      <w:tblPr>
        <w:tblBorders/>
      </w:tblPr>
      <w:tcPr>
        <w:tcBorders/>
      </w:tcPr>
    </w:tblStylePr>
    <w:tblStylePr w:type="firstRow">
      <w:rPr>
        <w:b/>
        <w:color w:val="cd9600" w:themeColor="accent4" w:themeTint="9A" w:themeShade="95"/>
      </w:rPr>
      <w:pPr>
        <w:pBdr/>
        <w:spacing/>
        <w:ind/>
      </w:pPr>
      <w:tblPr>
        <w:tblBorders/>
      </w:tblPr>
      <w:tcPr>
        <w:tcBorders>
          <w:bottom w:val="single" w:color="000000" w:themeColor="accent4" w:themeTint="9A" w:sz="12" w:space="0"/>
        </w:tcBorders>
      </w:tcPr>
    </w:tblStylePr>
    <w:tblStylePr w:type="lastCol">
      <w:rPr>
        <w:b/>
        <w:color w:val="cd9600" w:themeColor="accent4" w:themeTint="9A" w:themeShade="95"/>
      </w:rPr>
      <w:pPr>
        <w:pBdr/>
        <w:spacing/>
        <w:ind/>
      </w:pPr>
      <w:tblPr>
        <w:tblBorders/>
      </w:tblPr>
      <w:tcPr>
        <w:tcBorders/>
      </w:tcPr>
    </w:tblStylePr>
    <w:tblStylePr w:type="lastRow">
      <w:rPr>
        <w:b/>
        <w:color w:val="cd9600" w:themeColor="accent4" w:themeTint="9A"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4" w:themeTint="9A" w:themeShade="95"/>
        <w:sz w:val="22"/>
      </w:rPr>
      <w:pPr>
        <w:pBdr/>
        <w:spacing/>
        <w:ind/>
      </w:pPr>
      <w:tblPr>
        <w:tblBorders/>
      </w:tblPr>
      <w:tcPr>
        <w:tcBorders/>
      </w:tcPr>
    </w:tblStylePr>
  </w:style>
  <w:style w:type="table" w:styleId="95">
    <w:name w:val="Grid Table 6 Colorful - Accent 5"/>
    <w:basedOn w:val="677"/>
    <w:uiPriority w:val="99"/>
    <w:pPr>
      <w:pBdr/>
      <w:spacing w:after="0" w:line="240" w:lineRule="auto"/>
      <w:ind/>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5" w:themeTint="34" w:fill="ddebf6" w:themeFill="accent5" w:themeFillTint="34"/>
        <w:tcBorders/>
      </w:tcPr>
    </w:tblStylePr>
    <w:tblStylePr w:type="band1Vert">
      <w:pPr>
        <w:pBdr/>
        <w:spacing/>
        <w:ind/>
      </w:pPr>
      <w:tblPr>
        <w:tblBorders/>
      </w:tblPr>
      <w:tcPr>
        <w:shd w:val="clear" w:color="ffffff" w:themeColor="accent5" w:themeTint="34" w:fill="ddebf6" w:themeFill="accent5"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45d8d" w:themeColor="accent5" w:themeShade="95"/>
      </w:rPr>
      <w:pPr>
        <w:pBdr/>
        <w:spacing/>
        <w:ind/>
      </w:pPr>
      <w:tblPr>
        <w:tblBorders/>
      </w:tblPr>
      <w:tcPr>
        <w:tcBorders/>
      </w:tcPr>
    </w:tblStylePr>
    <w:tblStylePr w:type="firstRow">
      <w:rPr>
        <w:b/>
        <w:color w:val="245d8d" w:themeColor="accent5" w:themeShade="95"/>
      </w:rPr>
      <w:pPr>
        <w:pBdr/>
        <w:spacing/>
        <w:ind/>
      </w:pPr>
      <w:tblPr>
        <w:tblBorders/>
      </w:tblPr>
      <w:tcPr>
        <w:tcBorders>
          <w:bottom w:val="single" w:color="000000" w:themeColor="accent5" w:sz="12" w:space="0"/>
        </w:tcBorders>
      </w:tcPr>
    </w:tblStylePr>
    <w:tblStylePr w:type="lastCol">
      <w:rPr>
        <w:b/>
        <w:color w:val="245d8d" w:themeColor="accent5" w:themeShade="95"/>
      </w:rPr>
      <w:pPr>
        <w:pBdr/>
        <w:spacing/>
        <w:ind/>
      </w:pPr>
      <w:tblPr>
        <w:tblBorders/>
      </w:tblPr>
      <w:tcPr>
        <w:tcBorders/>
      </w:tcPr>
    </w:tblStylePr>
    <w:tblStylePr w:type="lastRow">
      <w:rPr>
        <w:b/>
        <w:color w:val="245d8d"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96">
    <w:name w:val="Grid Table 6 Colorful - Accent 6"/>
    <w:basedOn w:val="677"/>
    <w:uiPriority w:val="99"/>
    <w:pPr>
      <w:pBdr/>
      <w:spacing w:after="0" w:line="240" w:lineRule="auto"/>
      <w:ind/>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6" w:themeTint="34" w:fill="e2efd8" w:themeFill="accent6" w:themeFillTint="34"/>
        <w:tcBorders/>
      </w:tcPr>
    </w:tblStylePr>
    <w:tblStylePr w:type="band1Vert">
      <w:pPr>
        <w:pBdr/>
        <w:spacing/>
        <w:ind/>
      </w:pPr>
      <w:tblPr>
        <w:tblBorders/>
      </w:tblPr>
      <w:tcPr>
        <w:shd w:val="clear" w:color="ffffff" w:themeColor="accent6" w:themeTint="34" w:fill="e2efd8" w:themeFill="accent6"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45d8d" w:themeColor="accent5" w:themeShade="95"/>
      </w:rPr>
      <w:pPr>
        <w:pBdr/>
        <w:spacing/>
        <w:ind/>
      </w:pPr>
      <w:tblPr>
        <w:tblBorders/>
      </w:tblPr>
      <w:tcPr>
        <w:tcBorders/>
      </w:tcPr>
    </w:tblStylePr>
    <w:tblStylePr w:type="firstRow">
      <w:rPr>
        <w:b/>
        <w:color w:val="245d8d" w:themeColor="accent5" w:themeShade="95"/>
      </w:rPr>
      <w:pPr>
        <w:pBdr/>
        <w:spacing/>
        <w:ind/>
      </w:pPr>
      <w:tblPr>
        <w:tblBorders/>
      </w:tblPr>
      <w:tcPr>
        <w:tcBorders>
          <w:bottom w:val="single" w:color="000000" w:themeColor="accent6" w:sz="12" w:space="0"/>
        </w:tcBorders>
      </w:tcPr>
    </w:tblStylePr>
    <w:tblStylePr w:type="lastCol">
      <w:rPr>
        <w:b/>
        <w:color w:val="245d8d" w:themeColor="accent5" w:themeShade="95"/>
      </w:rPr>
      <w:pPr>
        <w:pBdr/>
        <w:spacing/>
        <w:ind/>
      </w:pPr>
      <w:tblPr>
        <w:tblBorders/>
      </w:tblPr>
      <w:tcPr>
        <w:tcBorders/>
      </w:tcPr>
    </w:tblStylePr>
    <w:tblStylePr w:type="lastRow">
      <w:rPr>
        <w:b/>
        <w:color w:val="245d8d"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97">
    <w:name w:val="Grid Table 7 Colorful"/>
    <w:basedOn w:val="677"/>
    <w:uiPriority w:val="99"/>
    <w:pPr>
      <w:pBdr/>
      <w:spacing w:after="0" w:line="240" w:lineRule="auto"/>
      <w:ind/>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color="ffffff"/>
        <w:tcBorders>
          <w:top w:val="none"/>
          <w:left w:val="none"/>
          <w:bottom w:val="none"/>
          <w:right w:val="single" w:color="000000" w:themeColor="text1" w:themeTint="80" w:sz="4" w:space="0"/>
        </w:tcBorders>
      </w:tcPr>
    </w:tblStylePr>
    <w:tblStylePr w:type="fir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pPr>
        <w:pBdr/>
        <w:spacing/>
        <w:ind/>
      </w:pPr>
      <w:tblPr>
        <w:tblBorders/>
      </w:tblPr>
      <w:tcPr>
        <w:shd w:color="ffffff"/>
        <w:tcBorders>
          <w:top w:val="none"/>
          <w:left w:val="single" w:color="000000" w:themeColor="text1" w:themeTint="80" w:sz="4" w:space="0"/>
          <w:bottom w:val="none"/>
          <w:right w:val="none"/>
        </w:tcBorders>
      </w:tcPr>
    </w:tblStylePr>
    <w:tblStylePr w:type="la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8">
    <w:name w:val="Grid Table 7 Colorful - Accent 1"/>
    <w:basedOn w:val="677"/>
    <w:uiPriority w:val="99"/>
    <w:pPr>
      <w:pBdr/>
      <w:spacing w:after="0" w:line="240" w:lineRule="auto"/>
      <w:ind/>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3664a9" w:themeColor="accent1" w:themeTint="80" w:themeShade="95"/>
        <w:sz w:val="22"/>
      </w:rPr>
      <w:pPr>
        <w:pBdr/>
        <w:spacing/>
        <w:ind/>
      </w:pPr>
      <w:tblPr>
        <w:tblBorders/>
      </w:tblPr>
      <w:tcPr>
        <w:shd w:val="clear" w:color="ffffff" w:themeColor="accent1" w:themeTint="34" w:fill="d9e2f2" w:themeFill="accent1" w:themeFillTint="34"/>
        <w:tcBorders/>
      </w:tcPr>
    </w:tblStylePr>
    <w:tblStylePr w:type="band1Vert">
      <w:pPr>
        <w:pBdr/>
        <w:spacing/>
        <w:ind/>
      </w:pPr>
      <w:tblPr>
        <w:tblBorders/>
      </w:tblPr>
      <w:tcPr>
        <w:shd w:val="clear" w:color="ffffff" w:themeColor="accent1" w:themeTint="34" w:fill="d9e2f2" w:themeFill="accent1" w:themeFillTint="34"/>
        <w:tcBorders/>
      </w:tcPr>
    </w:tblStylePr>
    <w:tblStylePr w:type="band2Horz">
      <w:rPr>
        <w:rFonts w:ascii="Arial" w:hAnsi="Arial"/>
        <w:color w:val="3664a9"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3664a9" w:themeColor="accent1" w:themeTint="80" w:themeShade="95"/>
        <w:sz w:val="22"/>
      </w:rPr>
      <w:pPr>
        <w:pBdr/>
        <w:spacing/>
        <w:ind/>
        <w:jc w:val="right"/>
      </w:pPr>
      <w:tblPr>
        <w:tblBorders/>
      </w:tblPr>
      <w:tcPr>
        <w:shd w:color="ffffff"/>
        <w:tcBorders>
          <w:top w:val="none"/>
          <w:left w:val="none"/>
          <w:bottom w:val="none"/>
          <w:right w:val="single" w:color="000000" w:themeColor="accent1" w:themeTint="80" w:sz="4" w:space="0"/>
        </w:tcBorders>
      </w:tcPr>
    </w:tblStylePr>
    <w:tblStylePr w:type="firstRow">
      <w:rPr>
        <w:rFonts w:ascii="Arial" w:hAnsi="Arial"/>
        <w:b/>
        <w:color w:val="3664a9" w:themeColor="accent1" w:themeTint="80" w:themeShade="95"/>
        <w:sz w:val="22"/>
      </w:rPr>
      <w:pPr>
        <w:pBdr/>
        <w:spacing/>
        <w:ind/>
      </w:pPr>
      <w:tblPr>
        <w:tblBorders/>
      </w:tblPr>
      <w:tcPr>
        <w:shd w:val="clear" w:color="ffffff" w:themeColor="light1" w:fill="ffffff" w:themeFill="light1"/>
        <w:tcBorders>
          <w:top w:val="none"/>
          <w:left w:val="none"/>
          <w:bottom w:val="single" w:color="000000" w:themeColor="accent1" w:themeTint="80" w:sz="4" w:space="0"/>
          <w:right w:val="none"/>
        </w:tcBorders>
      </w:tcPr>
    </w:tblStylePr>
    <w:tblStylePr w:type="lastCol">
      <w:rPr>
        <w:rFonts w:ascii="Arial" w:hAnsi="Arial"/>
        <w:i/>
        <w:color w:val="3664a9" w:themeColor="accent1" w:themeTint="80" w:themeShade="95"/>
        <w:sz w:val="22"/>
      </w:rPr>
      <w:pPr>
        <w:pBdr/>
        <w:spacing/>
        <w:ind/>
      </w:pPr>
      <w:tblPr>
        <w:tblBorders/>
      </w:tblPr>
      <w:tcPr>
        <w:shd w:color="ffffff"/>
        <w:tcBorders>
          <w:top w:val="none"/>
          <w:left w:val="single" w:color="000000" w:themeColor="accent1" w:themeTint="80" w:sz="4" w:space="0"/>
          <w:bottom w:val="none"/>
          <w:right w:val="none"/>
        </w:tcBorders>
      </w:tcPr>
    </w:tblStylePr>
    <w:tblStylePr w:type="lastRow">
      <w:rPr>
        <w:rFonts w:ascii="Arial" w:hAnsi="Arial"/>
        <w:b/>
        <w:color w:val="3664a9" w:themeColor="accent1" w:themeTint="80" w:themeShade="95"/>
        <w:sz w:val="22"/>
      </w:rPr>
      <w:pPr>
        <w:pBdr/>
        <w:spacing/>
        <w:ind/>
      </w:pPr>
      <w:tblPr>
        <w:tblBorders/>
      </w:tblPr>
      <w:tcPr>
        <w:shd w:val="clear" w:color="ffffff" w:themeColor="light1" w:fill="ffffff" w:themeFill="light1"/>
        <w:tcBorders>
          <w:top w:val="single" w:color="000000" w:themeColor="accen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9">
    <w:name w:val="Grid Table 7 Colorful - Accent 2"/>
    <w:basedOn w:val="677"/>
    <w:uiPriority w:val="99"/>
    <w:pPr>
      <w:pBdr/>
      <w:spacing w:after="0" w:line="240" w:lineRule="auto"/>
      <w:ind/>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c95712" w:themeColor="accent2" w:themeTint="97" w:themeShade="95"/>
        <w:sz w:val="22"/>
      </w:rPr>
      <w:pPr>
        <w:pBdr/>
        <w:spacing/>
        <w:ind/>
      </w:pPr>
      <w:tblPr>
        <w:tblBorders/>
      </w:tblPr>
      <w:tcPr>
        <w:shd w:val="clear" w:color="ffffff" w:themeColor="accent2" w:themeTint="32" w:fill="fbe5d6" w:themeFill="accent2" w:themeFillTint="32"/>
        <w:tcBorders/>
      </w:tcPr>
    </w:tblStylePr>
    <w:tblStylePr w:type="band1Vert">
      <w:pPr>
        <w:pBdr/>
        <w:spacing/>
        <w:ind/>
      </w:pPr>
      <w:tblPr>
        <w:tblBorders/>
      </w:tblPr>
      <w:tcPr>
        <w:shd w:val="clear" w:color="ffffff" w:themeColor="accent2" w:themeTint="32" w:fill="fbe5d6" w:themeFill="accent2" w:themeFillTint="32"/>
        <w:tcBorders/>
      </w:tcPr>
    </w:tblStylePr>
    <w:tblStylePr w:type="band2Horz">
      <w:rPr>
        <w:rFonts w:ascii="Arial" w:hAnsi="Arial"/>
        <w:color w:val="c95712"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c95712" w:themeColor="accent2" w:themeTint="97" w:themeShade="95"/>
        <w:sz w:val="22"/>
      </w:rPr>
      <w:pPr>
        <w:pBdr/>
        <w:spacing/>
        <w:ind/>
        <w:jc w:val="right"/>
      </w:pPr>
      <w:tblPr>
        <w:tblBorders/>
      </w:tblPr>
      <w:tcPr>
        <w:shd w:color="ffffff"/>
        <w:tcBorders>
          <w:top w:val="none"/>
          <w:left w:val="none"/>
          <w:bottom w:val="none"/>
          <w:right w:val="single" w:color="000000" w:themeColor="accent2" w:themeTint="97" w:sz="4" w:space="0"/>
        </w:tcBorders>
      </w:tcPr>
    </w:tblStylePr>
    <w:tblStylePr w:type="firstRow">
      <w:rPr>
        <w:rFonts w:ascii="Arial" w:hAnsi="Arial"/>
        <w:b/>
        <w:color w:val="c95712" w:themeColor="accent2" w:themeTint="97" w:themeShade="95"/>
        <w:sz w:val="22"/>
      </w:rPr>
      <w:pPr>
        <w:pBdr/>
        <w:spacing/>
        <w:ind/>
      </w:pPr>
      <w:tblPr>
        <w:tblBorders/>
      </w:tbl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c95712" w:themeColor="accent2" w:themeTint="97" w:themeShade="95"/>
        <w:sz w:val="22"/>
      </w:rPr>
      <w:pPr>
        <w:pBdr/>
        <w:spacing/>
        <w:ind/>
      </w:pPr>
      <w:tblPr>
        <w:tblBorders/>
      </w:tblPr>
      <w:tcPr>
        <w:shd w:color="ffffff"/>
        <w:tcBorders>
          <w:top w:val="none"/>
          <w:left w:val="single" w:color="000000" w:themeColor="accent2" w:themeTint="97" w:sz="4" w:space="0"/>
          <w:bottom w:val="none"/>
          <w:right w:val="none"/>
        </w:tcBorders>
      </w:tcPr>
    </w:tblStylePr>
    <w:tblStylePr w:type="lastRow">
      <w:rPr>
        <w:rFonts w:ascii="Arial" w:hAnsi="Arial"/>
        <w:b/>
        <w:color w:val="c95712"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0">
    <w:name w:val="Grid Table 7 Colorful - Accent 3"/>
    <w:basedOn w:val="677"/>
    <w:uiPriority w:val="99"/>
    <w:pPr>
      <w:pBdr/>
      <w:spacing w:after="0" w:line="240" w:lineRule="auto"/>
      <w:ind/>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606060" w:themeColor="accent3" w:themeTint="FE" w:themeShade="95"/>
        <w:sz w:val="22"/>
      </w:rPr>
      <w:pPr>
        <w:pBdr/>
        <w:spacing/>
        <w:ind/>
      </w:pPr>
      <w:tblPr>
        <w:tblBorders/>
      </w:tblPr>
      <w:tcPr>
        <w:shd w:val="clear" w:color="ffffff" w:themeColor="accent3" w:themeTint="34" w:fill="ededed" w:themeFill="accent3" w:themeFillTint="34"/>
        <w:tcBorders/>
      </w:tcPr>
    </w:tblStylePr>
    <w:tblStylePr w:type="band1Vert">
      <w:pPr>
        <w:pBdr/>
        <w:spacing/>
        <w:ind/>
      </w:pPr>
      <w:tblPr>
        <w:tblBorders/>
      </w:tblPr>
      <w:tcPr>
        <w:shd w:val="clear" w:color="ffffff" w:themeColor="accent3" w:themeTint="34" w:fill="ededed" w:themeFill="accent3" w:themeFillTint="34"/>
        <w:tcBorders/>
      </w:tcPr>
    </w:tblStylePr>
    <w:tblStylePr w:type="band2Horz">
      <w:rPr>
        <w:rFonts w:ascii="Arial" w:hAnsi="Arial"/>
        <w:color w:val="606060"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606060" w:themeColor="accent3" w:themeTint="FE" w:themeShade="95"/>
        <w:sz w:val="22"/>
      </w:rPr>
      <w:pPr>
        <w:pBdr/>
        <w:spacing/>
        <w:ind/>
        <w:jc w:val="right"/>
      </w:pPr>
      <w:tblPr>
        <w:tblBorders/>
      </w:tblPr>
      <w:tcPr>
        <w:shd w:color="ffffff"/>
        <w:tcBorders>
          <w:top w:val="none"/>
          <w:left w:val="none"/>
          <w:bottom w:val="none"/>
          <w:right w:val="single" w:color="000000" w:themeColor="accent3" w:themeTint="FE" w:sz="4" w:space="0"/>
        </w:tcBorders>
      </w:tcPr>
    </w:tblStylePr>
    <w:tblStylePr w:type="firstRow">
      <w:rPr>
        <w:rFonts w:ascii="Arial" w:hAnsi="Arial"/>
        <w:b/>
        <w:color w:val="606060" w:themeColor="accent3" w:themeTint="FE" w:themeShade="95"/>
        <w:sz w:val="22"/>
      </w:rPr>
      <w:pPr>
        <w:pBdr/>
        <w:spacing/>
        <w:ind/>
      </w:pPr>
      <w:tblPr>
        <w:tblBorders/>
      </w:tblPr>
      <w:tcPr>
        <w:shd w:val="clear" w:color="ffffff" w:themeColor="light1" w:fill="ffffff" w:themeFill="light1"/>
        <w:tcBorders>
          <w:top w:val="none"/>
          <w:left w:val="none"/>
          <w:bottom w:val="single" w:color="000000" w:themeColor="accent3" w:themeTint="FE" w:sz="4" w:space="0"/>
          <w:right w:val="none"/>
        </w:tcBorders>
      </w:tcPr>
    </w:tblStylePr>
    <w:tblStylePr w:type="lastCol">
      <w:rPr>
        <w:rFonts w:ascii="Arial" w:hAnsi="Arial"/>
        <w:i/>
        <w:color w:val="606060" w:themeColor="accent3" w:themeTint="FE" w:themeShade="95"/>
        <w:sz w:val="22"/>
      </w:rPr>
      <w:pPr>
        <w:pBdr/>
        <w:spacing/>
        <w:ind/>
      </w:pPr>
      <w:tblPr>
        <w:tblBorders/>
      </w:tblPr>
      <w:tcPr>
        <w:shd w:color="ffffff"/>
        <w:tcBorders>
          <w:top w:val="none"/>
          <w:left w:val="single" w:color="000000" w:themeColor="accent3" w:themeTint="FE" w:sz="4" w:space="0"/>
          <w:bottom w:val="none"/>
          <w:right w:val="none"/>
        </w:tcBorders>
      </w:tcPr>
    </w:tblStylePr>
    <w:tblStylePr w:type="lastRow">
      <w:rPr>
        <w:rFonts w:ascii="Arial" w:hAnsi="Arial"/>
        <w:b/>
        <w:color w:val="606060" w:themeColor="accent3" w:themeTint="FE" w:themeShade="95"/>
        <w:sz w:val="22"/>
      </w:rPr>
      <w:pPr>
        <w:pBdr/>
        <w:spacing/>
        <w:ind/>
      </w:pPr>
      <w:tblPr>
        <w:tblBorders/>
      </w:tblPr>
      <w:tcPr>
        <w:shd w:val="clear" w:color="ffffff" w:themeColor="light1" w:fill="ffffff" w:themeFill="light1"/>
        <w:tcBorders>
          <w:top w:val="single" w:color="000000" w:themeColor="accent3" w:themeTint="FE"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1">
    <w:name w:val="Grid Table 7 Colorful - Accent 4"/>
    <w:basedOn w:val="677"/>
    <w:uiPriority w:val="99"/>
    <w:pPr>
      <w:pBdr/>
      <w:spacing w:after="0" w:line="240" w:lineRule="auto"/>
      <w:ind/>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cd9600" w:themeColor="accent4" w:themeTint="9A" w:themeShade="95"/>
        <w:sz w:val="22"/>
      </w:rPr>
      <w:pPr>
        <w:pBdr/>
        <w:spacing/>
        <w:ind/>
      </w:pPr>
      <w:tblPr>
        <w:tblBorders/>
      </w:tblPr>
      <w:tcPr>
        <w:shd w:val="clear" w:color="ffffff" w:themeColor="accent4" w:themeTint="34" w:fill="fef2cb" w:themeFill="accent4" w:themeFillTint="34"/>
        <w:tcBorders/>
      </w:tcPr>
    </w:tblStylePr>
    <w:tblStylePr w:type="band1Vert">
      <w:pPr>
        <w:pBdr/>
        <w:spacing/>
        <w:ind/>
      </w:pPr>
      <w:tblPr>
        <w:tblBorders/>
      </w:tblPr>
      <w:tcPr>
        <w:shd w:val="clear" w:color="ffffff" w:themeColor="accent4" w:themeTint="34" w:fill="fef2cb" w:themeFill="accent4" w:themeFillTint="34"/>
        <w:tcBorders/>
      </w:tcPr>
    </w:tblStylePr>
    <w:tblStylePr w:type="band2Horz">
      <w:rPr>
        <w:rFonts w:ascii="Arial" w:hAnsi="Arial"/>
        <w:color w:val="cd960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cd9600" w:themeColor="accent4" w:themeTint="9A" w:themeShade="95"/>
        <w:sz w:val="22"/>
      </w:rPr>
      <w:pPr>
        <w:pBdr/>
        <w:spacing/>
        <w:ind/>
        <w:jc w:val="right"/>
      </w:pPr>
      <w:tblPr>
        <w:tblBorders/>
      </w:tblPr>
      <w:tcPr>
        <w:shd w:color="ffffff"/>
        <w:tcBorders>
          <w:top w:val="none"/>
          <w:left w:val="none"/>
          <w:bottom w:val="none"/>
          <w:right w:val="single" w:color="000000" w:themeColor="accent4" w:themeTint="9A" w:sz="4" w:space="0"/>
        </w:tcBorders>
      </w:tcPr>
    </w:tblStylePr>
    <w:tblStylePr w:type="firstRow">
      <w:rPr>
        <w:rFonts w:ascii="Arial" w:hAnsi="Arial"/>
        <w:b/>
        <w:color w:val="cd9600" w:themeColor="accent4" w:themeTint="9A" w:themeShade="95"/>
        <w:sz w:val="22"/>
      </w:rPr>
      <w:pPr>
        <w:pBdr/>
        <w:spacing/>
        <w:ind/>
      </w:pPr>
      <w:tblPr>
        <w:tblBorders/>
      </w:tbl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cd9600" w:themeColor="accent4" w:themeTint="9A" w:themeShade="95"/>
        <w:sz w:val="22"/>
      </w:rPr>
      <w:pPr>
        <w:pBdr/>
        <w:spacing/>
        <w:ind/>
      </w:pPr>
      <w:tblPr>
        <w:tblBorders/>
      </w:tblPr>
      <w:tcPr>
        <w:shd w:color="ffffff"/>
        <w:tcBorders>
          <w:top w:val="none"/>
          <w:left w:val="single" w:color="000000" w:themeColor="accent4" w:themeTint="9A" w:sz="4" w:space="0"/>
          <w:bottom w:val="none"/>
          <w:right w:val="none"/>
        </w:tcBorders>
      </w:tcPr>
    </w:tblStylePr>
    <w:tblStylePr w:type="lastRow">
      <w:rPr>
        <w:rFonts w:ascii="Arial" w:hAnsi="Arial"/>
        <w:b/>
        <w:color w:val="cd9600"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2">
    <w:name w:val="Grid Table 7 Colorful - Accent 5"/>
    <w:basedOn w:val="677"/>
    <w:uiPriority w:val="99"/>
    <w:pPr>
      <w:pBdr/>
      <w:spacing w:after="0" w:line="240" w:lineRule="auto"/>
      <w:ind/>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245d8d" w:themeColor="accent5" w:themeShade="95"/>
        <w:sz w:val="22"/>
      </w:rPr>
      <w:pPr>
        <w:pBdr/>
        <w:spacing/>
        <w:ind/>
      </w:pPr>
      <w:tblPr>
        <w:tblBorders/>
      </w:tblPr>
      <w:tcPr>
        <w:shd w:val="clear" w:color="ffffff" w:themeColor="accent5" w:themeTint="34" w:fill="ddebf6" w:themeFill="accent5" w:themeFillTint="34"/>
        <w:tcBorders/>
      </w:tcPr>
    </w:tblStylePr>
    <w:tblStylePr w:type="band1Vert">
      <w:pPr>
        <w:pBdr/>
        <w:spacing/>
        <w:ind/>
      </w:pPr>
      <w:tblPr>
        <w:tblBorders/>
      </w:tblPr>
      <w:tcPr>
        <w:shd w:val="clear" w:color="ffffff" w:themeColor="accent5" w:themeTint="34" w:fill="ddebf6" w:themeFill="accent5" w:themeFillTint="34"/>
        <w:tcBorders/>
      </w:tcPr>
    </w:tblStylePr>
    <w:tblStylePr w:type="band2Horz">
      <w:rPr>
        <w:rFonts w:ascii="Arial" w:hAnsi="Arial"/>
        <w:color w:val="245d8d"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45d8d" w:themeColor="accent5" w:themeShade="95"/>
        <w:sz w:val="22"/>
      </w:rPr>
      <w:pPr>
        <w:pBdr/>
        <w:spacing/>
        <w:ind/>
        <w:jc w:val="right"/>
      </w:pPr>
      <w:tblPr>
        <w:tblBorders/>
      </w:tblPr>
      <w:tcPr>
        <w:shd w:color="ffffff"/>
        <w:tcBorders>
          <w:top w:val="none"/>
          <w:left w:val="none"/>
          <w:bottom w:val="none"/>
          <w:right w:val="single" w:color="000000" w:themeColor="accent5" w:themeTint="90" w:sz="4" w:space="0"/>
        </w:tcBorders>
      </w:tcPr>
    </w:tblStylePr>
    <w:tblStylePr w:type="firstRow">
      <w:rPr>
        <w:rFonts w:ascii="Arial" w:hAnsi="Arial"/>
        <w:b/>
        <w:color w:val="245d8d" w:themeColor="accent5" w:themeShade="95"/>
        <w:sz w:val="22"/>
      </w:rPr>
      <w:pPr>
        <w:pBdr/>
        <w:spacing/>
        <w:ind/>
      </w:pPr>
      <w:tblPr>
        <w:tblBorders/>
      </w:tblPr>
      <w:tcPr>
        <w:shd w:val="clear" w:color="ffffff" w:themeColor="light1" w:fill="ffffff" w:themeFill="light1"/>
        <w:tcBorders>
          <w:top w:val="none"/>
          <w:left w:val="none"/>
          <w:bottom w:val="single" w:color="000000" w:themeColor="accent5" w:themeTint="90" w:sz="4" w:space="0"/>
          <w:right w:val="none"/>
        </w:tcBorders>
      </w:tcPr>
    </w:tblStylePr>
    <w:tblStylePr w:type="lastCol">
      <w:rPr>
        <w:rFonts w:ascii="Arial" w:hAnsi="Arial"/>
        <w:i/>
        <w:color w:val="245d8d" w:themeColor="accent5" w:themeShade="95"/>
        <w:sz w:val="22"/>
      </w:rPr>
      <w:pPr>
        <w:pBdr/>
        <w:spacing/>
        <w:ind/>
      </w:pPr>
      <w:tblPr>
        <w:tblBorders/>
      </w:tblPr>
      <w:tcPr>
        <w:shd w:color="ffffff"/>
        <w:tcBorders>
          <w:top w:val="none"/>
          <w:left w:val="single" w:color="000000" w:themeColor="accent5" w:themeTint="90" w:sz="4" w:space="0"/>
          <w:bottom w:val="none"/>
          <w:right w:val="none"/>
        </w:tcBorders>
      </w:tcPr>
    </w:tblStylePr>
    <w:tblStylePr w:type="lastRow">
      <w:rPr>
        <w:rFonts w:ascii="Arial" w:hAnsi="Arial"/>
        <w:b/>
        <w:color w:val="245d8d" w:themeColor="accent5" w:themeShade="95"/>
        <w:sz w:val="22"/>
      </w:rPr>
      <w:pPr>
        <w:pBdr/>
        <w:spacing/>
        <w:ind/>
      </w:pPr>
      <w:tblPr>
        <w:tblBorders/>
      </w:tblPr>
      <w:tcPr>
        <w:shd w:val="clear" w:color="ffffff" w:themeColor="light1" w:fill="ffffff" w:themeFill="light1"/>
        <w:tcBorders>
          <w:top w:val="single" w:color="000000" w:themeColor="accent5" w:themeTint="9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3">
    <w:name w:val="Grid Table 7 Colorful - Accent 6"/>
    <w:basedOn w:val="677"/>
    <w:uiPriority w:val="99"/>
    <w:pPr>
      <w:pBdr/>
      <w:spacing w:after="0" w:line="240" w:lineRule="auto"/>
      <w:ind/>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426429" w:themeColor="accent6" w:themeShade="95"/>
        <w:sz w:val="22"/>
      </w:rPr>
      <w:pPr>
        <w:pBdr/>
        <w:spacing/>
        <w:ind/>
      </w:pPr>
      <w:tblPr>
        <w:tblBorders/>
      </w:tblPr>
      <w:tcPr>
        <w:shd w:val="clear" w:color="ffffff" w:themeColor="accent6" w:themeTint="34" w:fill="e2efd8" w:themeFill="accent6" w:themeFillTint="34"/>
        <w:tcBorders/>
      </w:tcPr>
    </w:tblStylePr>
    <w:tblStylePr w:type="band1Vert">
      <w:pPr>
        <w:pBdr/>
        <w:spacing/>
        <w:ind/>
      </w:pPr>
      <w:tblPr>
        <w:tblBorders/>
      </w:tblPr>
      <w:tcPr>
        <w:shd w:val="clear" w:color="ffffff" w:themeColor="accent6" w:themeTint="34" w:fill="e2efd8" w:themeFill="accent6" w:themeFillTint="34"/>
        <w:tcBorders/>
      </w:tcPr>
    </w:tblStylePr>
    <w:tblStylePr w:type="band2Horz">
      <w:rPr>
        <w:rFonts w:ascii="Arial" w:hAnsi="Arial"/>
        <w:color w:val="426429" w:themeColor="accent6"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26429" w:themeColor="accent6" w:themeShade="95"/>
        <w:sz w:val="22"/>
      </w:rPr>
      <w:pPr>
        <w:pBdr/>
        <w:spacing/>
        <w:ind/>
        <w:jc w:val="right"/>
      </w:pPr>
      <w:tblPr>
        <w:tblBorders/>
      </w:tblPr>
      <w:tcPr>
        <w:shd w:color="ffffff"/>
        <w:tcBorders>
          <w:top w:val="none"/>
          <w:left w:val="none"/>
          <w:bottom w:val="none"/>
          <w:right w:val="single" w:color="000000" w:themeColor="accent6" w:themeTint="90" w:sz="4" w:space="0"/>
        </w:tcBorders>
      </w:tcPr>
    </w:tblStylePr>
    <w:tblStylePr w:type="firstRow">
      <w:rPr>
        <w:rFonts w:ascii="Arial" w:hAnsi="Arial"/>
        <w:b/>
        <w:color w:val="426429" w:themeColor="accent6" w:themeShade="95"/>
        <w:sz w:val="22"/>
      </w:rPr>
      <w:pPr>
        <w:pBdr/>
        <w:spacing/>
        <w:ind/>
      </w:pPr>
      <w:tblPr>
        <w:tblBorders/>
      </w:tblPr>
      <w:tcPr>
        <w:shd w:val="clear" w:color="ffffff" w:themeColor="light1" w:fill="ffffff" w:themeFill="light1"/>
        <w:tcBorders>
          <w:top w:val="none"/>
          <w:left w:val="none"/>
          <w:bottom w:val="single" w:color="000000" w:themeColor="accent6" w:themeTint="90" w:sz="4" w:space="0"/>
          <w:right w:val="none"/>
        </w:tcBorders>
      </w:tcPr>
    </w:tblStylePr>
    <w:tblStylePr w:type="lastCol">
      <w:rPr>
        <w:rFonts w:ascii="Arial" w:hAnsi="Arial"/>
        <w:i/>
        <w:color w:val="426429" w:themeColor="accent6" w:themeShade="95"/>
        <w:sz w:val="22"/>
      </w:rPr>
      <w:pPr>
        <w:pBdr/>
        <w:spacing/>
        <w:ind/>
      </w:pPr>
      <w:tblPr>
        <w:tblBorders/>
      </w:tblPr>
      <w:tcPr>
        <w:shd w:color="ffffff"/>
        <w:tcBorders>
          <w:top w:val="none"/>
          <w:left w:val="single" w:color="000000" w:themeColor="accent6" w:themeTint="90" w:sz="4" w:space="0"/>
          <w:bottom w:val="none"/>
          <w:right w:val="none"/>
        </w:tcBorders>
      </w:tcPr>
    </w:tblStylePr>
    <w:tblStylePr w:type="lastRow">
      <w:rPr>
        <w:rFonts w:ascii="Arial" w:hAnsi="Arial"/>
        <w:b/>
        <w:color w:val="426429" w:themeColor="accent6" w:themeShade="95"/>
        <w:sz w:val="22"/>
      </w:rPr>
      <w:pPr>
        <w:pBdr/>
        <w:spacing/>
        <w:ind/>
      </w:pPr>
      <w:tblPr>
        <w:tblBorders/>
      </w:tblPr>
      <w:tcPr>
        <w:shd w:val="clear" w:color="ffffff" w:themeColor="light1" w:fill="ffffff" w:themeFill="light1"/>
        <w:tcBorders>
          <w:top w:val="single" w:color="000000" w:themeColor="accent6" w:themeTint="9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4">
    <w:name w:val="List Table 1 Light"/>
    <w:basedOn w:val="677"/>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5">
    <w:name w:val="List Table 1 Light - Accent 1"/>
    <w:basedOn w:val="677"/>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1" w:themeTint="40" w:fill="cfdcf0" w:themeFill="accent1" w:themeFillTint="40"/>
        <w:tcBorders/>
      </w:tcPr>
    </w:tblStylePr>
    <w:tblStylePr w:type="band1Vert">
      <w:pPr>
        <w:pBdr/>
        <w:spacing/>
        <w:ind/>
      </w:pPr>
      <w:tblPr>
        <w:tblBorders/>
      </w:tblPr>
      <w:tcPr>
        <w:shd w:val="clear" w:color="ffffff" w:themeColor="accent1" w:themeTint="40" w:fill="cfdcf0"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6">
    <w:name w:val="List Table 1 Light - Accent 2"/>
    <w:basedOn w:val="677"/>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2" w:themeTint="40" w:fill="fadecb" w:themeFill="accent2" w:themeFillTint="40"/>
        <w:tcBorders/>
      </w:tcPr>
    </w:tblStylePr>
    <w:tblStylePr w:type="band1Vert">
      <w:pPr>
        <w:pBdr/>
        <w:spacing/>
        <w:ind/>
      </w:pPr>
      <w:tblPr>
        <w:tblBorders/>
      </w:tblPr>
      <w:tcPr>
        <w:shd w:val="clear" w:color="ffffff" w:themeColor="accent2" w:themeTint="40" w:fill="fadecb"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7">
    <w:name w:val="List Table 1 Light - Accent 3"/>
    <w:basedOn w:val="677"/>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3" w:themeTint="40" w:fill="e8e8e8" w:themeFill="accent3" w:themeFillTint="40"/>
        <w:tcBorders/>
      </w:tcPr>
    </w:tblStylePr>
    <w:tblStylePr w:type="band1Vert">
      <w:pPr>
        <w:pBdr/>
        <w:spacing/>
        <w:ind/>
      </w:pPr>
      <w:tblPr>
        <w:tblBorders/>
      </w:tblPr>
      <w:tcPr>
        <w:shd w:val="clear" w:color="ffffff" w:themeColor="accent3" w:themeTint="40" w:fill="e8e8e8"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8">
    <w:name w:val="List Table 1 Light - Accent 4"/>
    <w:basedOn w:val="677"/>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4" w:themeTint="40" w:fill="ffefbf" w:themeFill="accent4" w:themeFillTint="40"/>
        <w:tcBorders/>
      </w:tcPr>
    </w:tblStylePr>
    <w:tblStylePr w:type="band1Vert">
      <w:pPr>
        <w:pBdr/>
        <w:spacing/>
        <w:ind/>
      </w:pPr>
      <w:tblPr>
        <w:tblBorders/>
      </w:tblPr>
      <w:tcPr>
        <w:shd w:val="clear" w:color="ffffff" w:themeColor="accent4" w:themeTint="40" w:fill="ffefbf"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9">
    <w:name w:val="List Table 1 Light - Accent 5"/>
    <w:basedOn w:val="677"/>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5" w:themeTint="40" w:fill="d5e6f4" w:themeFill="accent5" w:themeFillTint="40"/>
        <w:tcBorders/>
      </w:tcPr>
    </w:tblStylePr>
    <w:tblStylePr w:type="band1Vert">
      <w:pPr>
        <w:pBdr/>
        <w:spacing/>
        <w:ind/>
      </w:pPr>
      <w:tblPr>
        <w:tblBorders/>
      </w:tblPr>
      <w:tcPr>
        <w:shd w:val="clear" w:color="ffffff" w:themeColor="accent5" w:themeTint="40" w:fill="d5e6f4"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0">
    <w:name w:val="List Table 1 Light - Accent 6"/>
    <w:basedOn w:val="677"/>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6" w:themeTint="40" w:fill="dbebd0" w:themeFill="accent6" w:themeFillTint="40"/>
        <w:tcBorders/>
      </w:tcPr>
    </w:tblStylePr>
    <w:tblStylePr w:type="band1Vert">
      <w:pPr>
        <w:pBdr/>
        <w:spacing/>
        <w:ind/>
      </w:pPr>
      <w:tblPr>
        <w:tblBorders/>
      </w:tblPr>
      <w:tcPr>
        <w:shd w:val="clear" w:color="ffffff" w:themeColor="accent6" w:themeTint="40" w:fill="dbebd0"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1">
    <w:name w:val="List Table 2"/>
    <w:basedOn w:val="677"/>
    <w:uiPriority w:val="99"/>
    <w:pPr>
      <w:pBdr/>
      <w:spacing w:after="0" w:line="240" w:lineRule="auto"/>
      <w:ind/>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2">
    <w:name w:val="List Table 2 - Accent 1"/>
    <w:basedOn w:val="677"/>
    <w:uiPriority w:val="99"/>
    <w:pPr>
      <w:pBdr/>
      <w:spacing w:after="0" w:line="240" w:lineRule="auto"/>
      <w:ind/>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cfdcf0"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cfdcf0"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3">
    <w:name w:val="List Table 2 - Accent 2"/>
    <w:basedOn w:val="677"/>
    <w:uiPriority w:val="99"/>
    <w:pPr>
      <w:pBdr/>
      <w:spacing w:after="0" w:line="240" w:lineRule="auto"/>
      <w:ind/>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fadecb"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fadecb"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4">
    <w:name w:val="List Table 2 - Accent 3"/>
    <w:basedOn w:val="677"/>
    <w:uiPriority w:val="99"/>
    <w:pPr>
      <w:pBdr/>
      <w:spacing w:after="0" w:line="240" w:lineRule="auto"/>
      <w:ind/>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8e8e8"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8e8e8"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5">
    <w:name w:val="List Table 2 - Accent 4"/>
    <w:basedOn w:val="677"/>
    <w:uiPriority w:val="99"/>
    <w:pPr>
      <w:pBdr/>
      <w:spacing w:after="0" w:line="240" w:lineRule="auto"/>
      <w:ind/>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ffefbf"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ffefbf"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6">
    <w:name w:val="List Table 2 - Accent 5"/>
    <w:basedOn w:val="677"/>
    <w:uiPriority w:val="99"/>
    <w:pPr>
      <w:pBdr/>
      <w:spacing w:after="0" w:line="240" w:lineRule="auto"/>
      <w:ind/>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d5e6f4"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d5e6f4"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7">
    <w:name w:val="List Table 2 - Accent 6"/>
    <w:basedOn w:val="677"/>
    <w:uiPriority w:val="99"/>
    <w:pPr>
      <w:pBdr/>
      <w:spacing w:after="0" w:line="240" w:lineRule="auto"/>
      <w:ind/>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dbebd0"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dbebd0"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8">
    <w:name w:val="List Table 3"/>
    <w:basedOn w:val="677"/>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cPr>
      <w:tcBorders/>
    </w:tcPr>
    <w:tblStylePr w:type="band1Horz">
      <w:rPr>
        <w:rFonts w:ascii="Arial" w:hAnsi="Arial"/>
        <w:color w:val="404040"/>
        <w:sz w:val="22"/>
      </w:rPr>
      <w:pPr>
        <w:pBdr/>
        <w:spacing/>
        <w:ind/>
      </w:pPr>
      <w:tblPr>
        <w:tblBorders/>
      </w:tblPr>
      <w:tcPr>
        <w:tcBorders>
          <w:top w:val="single" w:color="000000" w:themeColor="text1" w:sz="4" w:space="0"/>
          <w:bottom w:val="single" w:color="000000" w:themeColor="text1" w:sz="4" w:space="0"/>
        </w:tcBorders>
      </w:tcPr>
    </w:tblStylePr>
    <w:tblStylePr w:type="band1Vert">
      <w:rPr>
        <w:rFonts w:ascii="Arial" w:hAnsi="Arial"/>
        <w:color w:val="404040"/>
        <w:sz w:val="22"/>
      </w:rPr>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9">
    <w:name w:val="List Table 3 - Accent 1"/>
    <w:basedOn w:val="677"/>
    <w:uiPriority w:val="99"/>
    <w:pPr>
      <w:pBdr/>
      <w:spacing w:after="0" w:line="240" w:lineRule="auto"/>
      <w:ind/>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cPr>
      <w:tcBorders/>
    </w:tcPr>
    <w:tblStylePr w:type="band1Horz">
      <w:rPr>
        <w:rFonts w:ascii="Arial" w:hAnsi="Arial"/>
        <w:color w:val="404040"/>
        <w:sz w:val="22"/>
      </w:rPr>
      <w:pPr>
        <w:pBdr/>
        <w:spacing/>
        <w:ind/>
      </w:pPr>
      <w:tblPr>
        <w:tblBorders/>
      </w:tblPr>
      <w:tcPr>
        <w:tcBorders>
          <w:top w:val="single" w:color="000000" w:themeColor="accent1" w:sz="4" w:space="0"/>
          <w:bottom w:val="single" w:color="000000" w:themeColor="accent1" w:sz="4" w:space="0"/>
        </w:tcBorders>
      </w:tcPr>
    </w:tblStylePr>
    <w:tblStylePr w:type="band1Vert">
      <w:rPr>
        <w:rFonts w:ascii="Arial" w:hAnsi="Arial"/>
        <w:color w:val="404040"/>
        <w:sz w:val="22"/>
      </w:rPr>
      <w:pPr>
        <w:pBdr/>
        <w:spacing/>
        <w:ind/>
      </w:pPr>
      <w:tblPr>
        <w:tblBorders/>
      </w:tblPr>
      <w:tcPr>
        <w:tcBorders>
          <w:left w:val="single" w:color="000000" w:themeColor="accent1" w:sz="4" w:space="0"/>
          <w:right w:val="single" w:color="000000" w:themeColor="accen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4472c4"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0">
    <w:name w:val="List Table 3 - Accent 2"/>
    <w:basedOn w:val="677"/>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pPr>
        <w:pBdr/>
        <w:spacing/>
        <w:ind/>
      </w:pPr>
      <w:tblPr>
        <w:tblBorders/>
      </w:tblPr>
      <w:tcPr>
        <w:tcBorders>
          <w:left w:val="single" w:color="000000" w:themeColor="accent2" w:themeTint="97" w:sz="4" w:space="0"/>
          <w:right w:val="single" w:color="000000" w:themeColor="accent2" w:themeTint="97"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f4b185" w:themeFill="accent2" w:themeFillTint="97"/>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1">
    <w:name w:val="List Table 3 - Accent 3"/>
    <w:basedOn w:val="677"/>
    <w:uiPriority w:val="99"/>
    <w:pPr>
      <w:pBdr/>
      <w:spacing w:after="0" w:line="240" w:lineRule="auto"/>
      <w:ind/>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pPr>
        <w:pBdr/>
        <w:spacing/>
        <w:ind/>
      </w:pPr>
      <w:tblPr>
        <w:tblBorders/>
      </w:tblPr>
      <w:tcPr>
        <w:tcBorders>
          <w:left w:val="single" w:color="000000" w:themeColor="accent3" w:themeTint="98" w:sz="4" w:space="0"/>
          <w:right w:val="single" w:color="000000" w:themeColor="accent3"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98" w:fill="c9c9c9" w:themeFill="accent3"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2">
    <w:name w:val="List Table 3 - Accent 4"/>
    <w:basedOn w:val="677"/>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pPr>
        <w:pBdr/>
        <w:spacing/>
        <w:ind/>
      </w:pPr>
      <w:tblPr>
        <w:tblBorders/>
      </w:tblPr>
      <w:tcPr>
        <w:tcBorders>
          <w:left w:val="single" w:color="000000" w:themeColor="accent4" w:themeTint="9A" w:sz="4" w:space="0"/>
          <w:right w:val="single" w:color="000000" w:themeColor="accent4"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ffd864" w:themeFill="accent4"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3">
    <w:name w:val="List Table 3 - Accent 5"/>
    <w:basedOn w:val="677"/>
    <w:uiPriority w:val="99"/>
    <w:pPr>
      <w:pBdr/>
      <w:spacing w:after="0" w:line="240" w:lineRule="auto"/>
      <w:ind/>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pPr>
        <w:pBdr/>
        <w:spacing/>
        <w:ind/>
      </w:pPr>
      <w:tblPr>
        <w:tblBorders/>
      </w:tblPr>
      <w:tcPr>
        <w:tcBorders>
          <w:left w:val="single" w:color="000000" w:themeColor="accent5" w:themeTint="9A" w:sz="4" w:space="0"/>
          <w:right w:val="single" w:color="000000" w:themeColor="accent5"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themeTint="9A" w:fill="9cc4e5" w:themeFill="accent5"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4">
    <w:name w:val="List Table 3 - Accent 6"/>
    <w:basedOn w:val="677"/>
    <w:uiPriority w:val="99"/>
    <w:pPr>
      <w:pBdr/>
      <w:spacing w:after="0" w:line="240" w:lineRule="auto"/>
      <w:ind/>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pPr>
        <w:pBdr/>
        <w:spacing/>
        <w:ind/>
      </w:pPr>
      <w:tblPr>
        <w:tblBorders/>
      </w:tblPr>
      <w:tcPr>
        <w:tcBorders>
          <w:left w:val="single" w:color="000000" w:themeColor="accent6" w:themeTint="98" w:sz="4" w:space="0"/>
          <w:right w:val="single" w:color="000000" w:themeColor="accent6"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themeTint="98" w:fill="aad08f" w:themeFill="accent6"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5">
    <w:name w:val="List Table 4"/>
    <w:basedOn w:val="677"/>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6">
    <w:name w:val="List Table 4 - Accent 1"/>
    <w:basedOn w:val="677"/>
    <w:uiPriority w:val="9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cfdcf0"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cfdcf0"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4472c4"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7">
    <w:name w:val="List Table 4 - Accent 2"/>
    <w:basedOn w:val="677"/>
    <w:uiPriority w:val="9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fadecb"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fadecb"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fill="ed7d31" w:themeFill="accent2"/>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8">
    <w:name w:val="List Table 4 - Accent 3"/>
    <w:basedOn w:val="677"/>
    <w:uiPriority w:val="9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8e8e8"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8e8e8"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fill="a5a5a5" w:themeFill="accent3"/>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9">
    <w:name w:val="List Table 4 - Accent 4"/>
    <w:basedOn w:val="677"/>
    <w:uiPriority w:val="9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ffefbf"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ffefbf"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fill="ffc000" w:themeFill="accent4"/>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0">
    <w:name w:val="List Table 4 - Accent 5"/>
    <w:basedOn w:val="677"/>
    <w:uiPriority w:val="9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d5e6f4"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d5e6f4"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5b9bd5" w:themeFill="accent5"/>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1">
    <w:name w:val="List Table 4 - Accent 6"/>
    <w:basedOn w:val="677"/>
    <w:uiPriority w:val="9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dbebd0"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dbebd0"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70ad47" w:themeFill="accent6"/>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2">
    <w:name w:val="List Table 5 Dark"/>
    <w:basedOn w:val="677"/>
    <w:uiPriority w:val="99"/>
    <w:pPr>
      <w:pBdr/>
      <w:spacing w:after="0" w:line="240" w:lineRule="auto"/>
      <w:ind/>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cPr>
      <w:tcBorders/>
    </w:tcPr>
    <w:tblStylePr w:type="band1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3">
    <w:name w:val="List Table 5 Dark - Accent 1"/>
    <w:basedOn w:val="677"/>
    <w:uiPriority w:val="99"/>
    <w:pPr>
      <w:pBdr/>
      <w:spacing w:after="0" w:line="240" w:lineRule="auto"/>
      <w:ind/>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472c4" w:themeFill="accent1"/>
    </w:tblPr>
    <w:tcPr>
      <w:tcBorders/>
    </w:tcPr>
    <w:tblStylePr w:type="band1Horz">
      <w:pPr>
        <w:pBdr/>
        <w:spacing/>
        <w:ind/>
      </w:pPr>
      <w:tblPr>
        <w:tblBorders/>
      </w:tblPr>
      <w:tcPr>
        <w:shd w:val="clear" w:color="ffffff" w:themeColor="accent1" w:fill="4472c4" w:themeFill="accent1"/>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1" w:fill="4472c4" w:themeFill="accent1"/>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1" w:fill="4472c4" w:themeFill="accent1"/>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1" w:fill="4472c4" w:themeFill="accent1"/>
        <w:tcBorders>
          <w:top w:val="single" w:color="000000" w:themeColor="accent1"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4">
    <w:name w:val="List Table 5 Dark - Accent 2"/>
    <w:basedOn w:val="677"/>
    <w:uiPriority w:val="99"/>
    <w:pPr>
      <w:pBdr/>
      <w:spacing w:after="0" w:line="240" w:lineRule="auto"/>
      <w:ind/>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f4b185" w:themeFill="accent2" w:themeFillTint="97"/>
    </w:tblPr>
    <w:tcPr>
      <w:tcBorders/>
    </w:tcPr>
    <w:tblStylePr w:type="band1Horz">
      <w:pPr>
        <w:pBdr/>
        <w:spacing/>
        <w:ind/>
      </w:pPr>
      <w:tblPr>
        <w:tblBorders/>
      </w:tblPr>
      <w:tcPr>
        <w:shd w:val="clear" w:color="ffffff" w:themeColor="accent2" w:themeTint="97" w:fill="f4b185" w:themeFill="accent2" w:themeFillTint="97"/>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2" w:themeTint="97" w:fill="f4b185" w:themeFill="accent2" w:themeFillTint="97"/>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2" w:themeTint="97" w:fill="f4b185" w:themeFill="accent2" w:themeFillTint="97"/>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2" w:themeTint="97" w:fill="f4b185" w:themeFill="accent2" w:themeFillTint="97"/>
        <w:tcBorders>
          <w:top w:val="single" w:color="000000" w:themeColor="accent2" w:themeTint="97"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5">
    <w:name w:val="List Table 5 Dark - Accent 3"/>
    <w:basedOn w:val="677"/>
    <w:uiPriority w:val="99"/>
    <w:pPr>
      <w:pBdr/>
      <w:spacing w:after="0" w:line="240" w:lineRule="auto"/>
      <w:ind/>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9c9c9" w:themeFill="accent3" w:themeFillTint="98"/>
    </w:tblPr>
    <w:tcPr>
      <w:tcBorders/>
    </w:tcPr>
    <w:tblStylePr w:type="band1Horz">
      <w:pPr>
        <w:pBdr/>
        <w:spacing/>
        <w:ind/>
      </w:pPr>
      <w:tblPr>
        <w:tblBorders/>
      </w:tblPr>
      <w:tcPr>
        <w:shd w:val="clear" w:color="ffffff" w:themeColor="accent3" w:themeTint="98" w:fill="c9c9c9" w:themeFill="accent3"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3" w:themeTint="98" w:fill="c9c9c9" w:themeFill="accent3"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3" w:themeTint="98" w:fill="c9c9c9" w:themeFill="accent3"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3" w:themeTint="98" w:fill="c9c9c9" w:themeFill="accent3" w:themeFillTint="98"/>
        <w:tcBorders>
          <w:top w:val="single" w:color="000000" w:themeColor="accent3"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6">
    <w:name w:val="List Table 5 Dark - Accent 4"/>
    <w:basedOn w:val="677"/>
    <w:uiPriority w:val="99"/>
    <w:pPr>
      <w:pBdr/>
      <w:spacing w:after="0" w:line="240" w:lineRule="auto"/>
      <w:ind/>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ffd864" w:themeFill="accent4" w:themeFillTint="9A"/>
    </w:tblPr>
    <w:tcPr>
      <w:tcBorders/>
    </w:tcPr>
    <w:tblStylePr w:type="band1Horz">
      <w:pPr>
        <w:pBdr/>
        <w:spacing/>
        <w:ind/>
      </w:pPr>
      <w:tblPr>
        <w:tblBorders/>
      </w:tblPr>
      <w:tcPr>
        <w:shd w:val="clear" w:color="ffffff" w:themeColor="accent4" w:themeTint="9A" w:fill="ffd864" w:themeFill="accent4"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4" w:themeTint="9A" w:fill="ffd864" w:themeFill="accent4"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4" w:themeTint="9A" w:fill="ffd864" w:themeFill="accent4"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4" w:themeTint="9A" w:fill="ffd864" w:themeFill="accent4" w:themeFillTint="9A"/>
        <w:tcBorders>
          <w:top w:val="single" w:color="000000" w:themeColor="accent4"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7">
    <w:name w:val="List Table 5 Dark - Accent 5"/>
    <w:basedOn w:val="677"/>
    <w:uiPriority w:val="99"/>
    <w:pPr>
      <w:pBdr/>
      <w:spacing w:after="0" w:line="240" w:lineRule="auto"/>
      <w:ind/>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cc4e5" w:themeFill="accent5" w:themeFillTint="9A"/>
    </w:tblPr>
    <w:tcPr>
      <w:tcBorders/>
    </w:tcPr>
    <w:tblStylePr w:type="band1Horz">
      <w:pPr>
        <w:pBdr/>
        <w:spacing/>
        <w:ind/>
      </w:pPr>
      <w:tblPr>
        <w:tblBorders/>
      </w:tblPr>
      <w:tcPr>
        <w:shd w:val="clear" w:color="ffffff" w:themeColor="accent5" w:themeTint="9A" w:fill="9cc4e5" w:themeFill="accent5"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5" w:themeTint="9A" w:fill="9cc4e5" w:themeFill="accent5"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5" w:themeTint="9A" w:fill="9cc4e5" w:themeFill="accent5"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5" w:themeTint="9A" w:fill="9cc4e5" w:themeFill="accent5" w:themeFillTint="9A"/>
        <w:tcBorders>
          <w:top w:val="single" w:color="000000" w:themeColor="accent5"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8">
    <w:name w:val="List Table 5 Dark - Accent 6"/>
    <w:basedOn w:val="677"/>
    <w:uiPriority w:val="99"/>
    <w:pPr>
      <w:pBdr/>
      <w:spacing w:after="0" w:line="240" w:lineRule="auto"/>
      <w:ind/>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aad08f" w:themeFill="accent6" w:themeFillTint="98"/>
    </w:tblPr>
    <w:tcPr>
      <w:tcBorders/>
    </w:tcPr>
    <w:tblStylePr w:type="band1Horz">
      <w:pPr>
        <w:pBdr/>
        <w:spacing/>
        <w:ind/>
      </w:pPr>
      <w:tblPr>
        <w:tblBorders/>
      </w:tblPr>
      <w:tcPr>
        <w:shd w:val="clear" w:color="ffffff" w:themeColor="accent6" w:themeTint="98" w:fill="aad08f" w:themeFill="accent6"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6" w:themeTint="98" w:fill="aad08f" w:themeFill="accent6"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6" w:themeTint="98" w:fill="aad08f" w:themeFill="accent6"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6" w:themeTint="98" w:fill="aad08f" w:themeFill="accent6" w:themeFillTint="98"/>
        <w:tcBorders>
          <w:top w:val="single" w:color="000000" w:themeColor="accent6"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9">
    <w:name w:val="List Table 6 Colorful"/>
    <w:basedOn w:val="677"/>
    <w:uiPriority w:val="99"/>
    <w:pPr>
      <w:pBdr/>
      <w:spacing w:after="0" w:line="240" w:lineRule="auto"/>
      <w:ind/>
    </w:pPr>
    <w:tblPr>
      <w:tblStyleRowBandSize w:val="1"/>
      <w:tblStyleColBandSize w:val="1"/>
      <w:tblInd w:w="0" w:type="dxa"/>
      <w:tblBorders>
        <w:top w:val="single" w:color="000000" w:themeColor="text1" w:themeTint="80" w:sz="4" w:space="0"/>
        <w:bottom w:val="single" w:color="000000" w:themeColor="text1" w:themeTint="80" w:sz="4" w:space="0"/>
      </w:tblBorders>
    </w:tblPr>
    <w:tcPr>
      <w:tcBorders/>
    </w:tcPr>
    <w:tblStylePr w:type="band1Horz">
      <w:rPr>
        <w:rFonts w:ascii="Arial" w:hAnsi="Arial"/>
        <w:color w:val="404040" w:themeColor="text1"/>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04040" w:themeColor="text1"/>
        <w:sz w:val="22"/>
      </w:rPr>
      <w:pPr>
        <w:pBdr/>
        <w:spacing/>
        <w:ind/>
      </w:pPr>
      <w:tblPr>
        <w:tblBorders/>
      </w:tblPr>
      <w:tcPr>
        <w:tcBorders/>
      </w:tcPr>
    </w:tblStylePr>
    <w:tblStylePr w:type="band2Vert">
      <w:pPr>
        <w:pBdr/>
        <w:spacing/>
        <w:ind/>
      </w:pPr>
      <w:tblPr>
        <w:tblBorders/>
      </w:tblPr>
      <w:tcPr>
        <w:tcBorders/>
      </w:tcPr>
    </w:tblStylePr>
    <w:tblStylePr w:type="firstCol">
      <w:rPr>
        <w:b/>
        <w:color w:val="000000" w:themeColor="text1"/>
      </w:rPr>
      <w:pPr>
        <w:pBdr/>
        <w:spacing/>
        <w:ind/>
      </w:pPr>
      <w:tblPr>
        <w:tblBorders/>
      </w:tblPr>
      <w:tcPr>
        <w:tcBorders/>
      </w:tcPr>
    </w:tblStylePr>
    <w:tblStylePr w:type="firstRow">
      <w:rPr>
        <w:b/>
        <w:color w:val="000000" w:themeColor="text1"/>
      </w:rPr>
      <w:pPr>
        <w:pBdr/>
        <w:spacing/>
        <w:ind/>
      </w:pPr>
      <w:tblPr>
        <w:tblBorders/>
      </w:tblPr>
      <w:tcPr>
        <w:tcBorders>
          <w:bottom w:val="single" w:color="000000" w:themeColor="text1" w:themeTint="80" w:sz="4" w:space="0"/>
        </w:tcBorders>
      </w:tcPr>
    </w:tblStylePr>
    <w:tblStylePr w:type="lastCol">
      <w:rPr>
        <w:b/>
        <w:color w:val="000000" w:themeColor="text1"/>
      </w:rPr>
      <w:pPr>
        <w:pBdr/>
        <w:spacing/>
        <w:ind/>
      </w:pPr>
      <w:tblPr>
        <w:tblBorders/>
      </w:tblPr>
      <w:tcPr>
        <w:tcBorders/>
      </w:tcPr>
    </w:tblStylePr>
    <w:tblStylePr w:type="lastRow">
      <w:rPr>
        <w:b/>
        <w:color w:val="000000" w:themeColor="text1"/>
      </w:rPr>
      <w:pPr>
        <w:pBdr/>
        <w:spacing/>
        <w:ind/>
      </w:pPr>
      <w:tblPr>
        <w:tblBorders/>
      </w:tblPr>
      <w:tcPr>
        <w:tcBorders>
          <w:top w:val="single" w:color="000000" w:themeColor="text1" w:themeTint="8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0">
    <w:name w:val="List Table 6 Colorful - Accent 1"/>
    <w:basedOn w:val="677"/>
    <w:uiPriority w:val="99"/>
    <w:pPr>
      <w:pBdr/>
      <w:spacing w:after="0" w:line="240" w:lineRule="auto"/>
      <w:ind/>
    </w:pPr>
    <w:tblPr>
      <w:tblStyleRowBandSize w:val="1"/>
      <w:tblStyleColBandSize w:val="1"/>
      <w:tblInd w:w="0" w:type="dxa"/>
      <w:tblBorders>
        <w:top w:val="single" w:color="000000" w:themeColor="accent1" w:sz="4" w:space="0"/>
        <w:bottom w:val="single" w:color="000000" w:themeColor="accent1" w:sz="4" w:space="0"/>
      </w:tblBorders>
    </w:tblPr>
    <w:tcPr>
      <w:tcBorders/>
    </w:tcPr>
    <w:tblStylePr w:type="band1Horz">
      <w:rPr>
        <w:rFonts w:ascii="Arial" w:hAnsi="Arial"/>
        <w:color w:val="404040" w:themeColor="accent1" w:themeShade="95"/>
        <w:sz w:val="22"/>
      </w:rPr>
      <w:pPr>
        <w:pBdr/>
        <w:spacing/>
        <w:ind/>
      </w:pPr>
      <w:tblPr>
        <w:tblBorders/>
      </w:tblPr>
      <w:tcPr>
        <w:shd w:val="clear" w:color="ffffff" w:themeColor="accent1" w:themeTint="40" w:fill="cfdcf0" w:themeFill="accent1" w:themeFillTint="40"/>
        <w:tcBorders/>
      </w:tcPr>
    </w:tblStylePr>
    <w:tblStylePr w:type="band1Vert">
      <w:pPr>
        <w:pBdr/>
        <w:spacing/>
        <w:ind/>
      </w:pPr>
      <w:tblPr>
        <w:tblBorders/>
      </w:tblPr>
      <w:tcPr>
        <w:shd w:val="clear" w:color="ffffff" w:themeColor="accent1" w:themeTint="40" w:fill="cfdcf0" w:themeFill="accent1" w:themeFillTint="40"/>
        <w:tcBorders/>
      </w:tcPr>
    </w:tblStylePr>
    <w:tblStylePr w:type="band2Horz">
      <w:rPr>
        <w:rFonts w:ascii="Arial" w:hAnsi="Arial"/>
        <w:color w:val="404040"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54374" w:themeColor="accent1" w:themeShade="95"/>
      </w:rPr>
      <w:pPr>
        <w:pBdr/>
        <w:spacing/>
        <w:ind/>
      </w:pPr>
      <w:tblPr>
        <w:tblBorders/>
      </w:tblPr>
      <w:tcPr>
        <w:tcBorders/>
      </w:tcPr>
    </w:tblStylePr>
    <w:tblStylePr w:type="firstRow">
      <w:rPr>
        <w:b/>
        <w:color w:val="254374" w:themeColor="accent1" w:themeShade="95"/>
      </w:rPr>
      <w:pPr>
        <w:pBdr/>
        <w:spacing/>
        <w:ind/>
      </w:pPr>
      <w:tblPr>
        <w:tblBorders/>
      </w:tblPr>
      <w:tcPr>
        <w:tcBorders>
          <w:bottom w:val="single" w:color="000000" w:themeColor="accent1" w:sz="4" w:space="0"/>
        </w:tcBorders>
      </w:tcPr>
    </w:tblStylePr>
    <w:tblStylePr w:type="lastCol">
      <w:rPr>
        <w:b/>
        <w:color w:val="254374" w:themeColor="accent1" w:themeShade="95"/>
      </w:rPr>
      <w:pPr>
        <w:pBdr/>
        <w:spacing/>
        <w:ind/>
      </w:pPr>
      <w:tblPr>
        <w:tblBorders/>
      </w:tblPr>
      <w:tcPr>
        <w:tcBorders/>
      </w:tcPr>
    </w:tblStylePr>
    <w:tblStylePr w:type="lastRow">
      <w:rPr>
        <w:b/>
        <w:color w:val="254374" w:themeColor="accent1" w:themeShade="95"/>
      </w:rPr>
      <w:pPr>
        <w:pBdr/>
        <w:spacing/>
        <w:ind/>
      </w:pPr>
      <w:tblPr>
        <w:tblBorders/>
      </w:tblPr>
      <w:tcPr>
        <w:tcBorders>
          <w:top w:val="single" w:color="000000" w:themeColor="accen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1">
    <w:name w:val="List Table 6 Colorful - Accent 2"/>
    <w:basedOn w:val="677"/>
    <w:uiPriority w:val="99"/>
    <w:pPr>
      <w:pBdr/>
      <w:spacing w:after="0" w:line="240" w:lineRule="auto"/>
      <w:ind/>
    </w:pPr>
    <w:tblPr>
      <w:tblStyleRowBandSize w:val="1"/>
      <w:tblStyleColBandSize w:val="1"/>
      <w:tblInd w:w="0" w:type="dxa"/>
      <w:tblBorders>
        <w:top w:val="single" w:color="000000" w:themeColor="accent2" w:themeTint="97" w:sz="4" w:space="0"/>
        <w:bottom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40" w:fill="fadecb" w:themeFill="accent2" w:themeFillTint="40"/>
        <w:tcBorders/>
      </w:tcPr>
    </w:tblStylePr>
    <w:tblStylePr w:type="band1Vert">
      <w:pPr>
        <w:pBdr/>
        <w:spacing/>
        <w:ind/>
      </w:pPr>
      <w:tblPr>
        <w:tblBorders/>
      </w:tblPr>
      <w:tcPr>
        <w:shd w:val="clear" w:color="ffffff" w:themeColor="accent2" w:themeTint="40" w:fill="fadecb" w:themeFill="accent2" w:themeFillTint="40"/>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c95712" w:themeColor="accent2" w:themeTint="97" w:themeShade="95"/>
      </w:rPr>
      <w:pPr>
        <w:pBdr/>
        <w:spacing/>
        <w:ind/>
      </w:pPr>
      <w:tblPr>
        <w:tblBorders/>
      </w:tblPr>
      <w:tcPr>
        <w:tcBorders/>
      </w:tcPr>
    </w:tblStylePr>
    <w:tblStylePr w:type="firstRow">
      <w:rPr>
        <w:b/>
        <w:color w:val="c95712" w:themeColor="accent2" w:themeTint="97" w:themeShade="95"/>
      </w:rPr>
      <w:pPr>
        <w:pBdr/>
        <w:spacing/>
        <w:ind/>
      </w:pPr>
      <w:tblPr>
        <w:tblBorders/>
      </w:tblPr>
      <w:tcPr>
        <w:tcBorders>
          <w:bottom w:val="single" w:color="000000" w:themeColor="accent2" w:themeTint="97" w:sz="4" w:space="0"/>
        </w:tcBorders>
      </w:tcPr>
    </w:tblStylePr>
    <w:tblStylePr w:type="lastCol">
      <w:rPr>
        <w:b/>
        <w:color w:val="c95712" w:themeColor="accent2" w:themeTint="97" w:themeShade="95"/>
      </w:rPr>
      <w:pPr>
        <w:pBdr/>
        <w:spacing/>
        <w:ind/>
      </w:pPr>
      <w:tblPr>
        <w:tblBorders/>
      </w:tblPr>
      <w:tcPr>
        <w:tcBorders/>
      </w:tcPr>
    </w:tblStylePr>
    <w:tblStylePr w:type="lastRow">
      <w:rPr>
        <w:b/>
        <w:color w:val="c95712" w:themeColor="accent2" w:themeTint="97" w:themeShade="95"/>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2">
    <w:name w:val="List Table 6 Colorful - Accent 3"/>
    <w:basedOn w:val="677"/>
    <w:uiPriority w:val="99"/>
    <w:pPr>
      <w:pBdr/>
      <w:spacing w:after="0" w:line="240" w:lineRule="auto"/>
      <w:ind/>
    </w:pPr>
    <w:tblPr>
      <w:tblStyleRowBandSize w:val="1"/>
      <w:tblStyleColBandSize w:val="1"/>
      <w:tblInd w:w="0" w:type="dxa"/>
      <w:tblBorders>
        <w:top w:val="single" w:color="000000" w:themeColor="accent3" w:themeTint="98" w:sz="4" w:space="0"/>
        <w:bottom w:val="single" w:color="000000" w:themeColor="accent3" w:themeTint="98" w:sz="4" w:space="0"/>
      </w:tblBorders>
    </w:tblPr>
    <w:tcPr>
      <w:tcBorders/>
    </w:tcPr>
    <w:tblStylePr w:type="band1Horz">
      <w:rPr>
        <w:rFonts w:ascii="Arial" w:hAnsi="Arial"/>
        <w:color w:val="404040" w:themeColor="accent3" w:themeTint="98" w:themeShade="95"/>
        <w:sz w:val="22"/>
      </w:rPr>
      <w:pPr>
        <w:pBdr/>
        <w:spacing/>
        <w:ind/>
      </w:pPr>
      <w:tblPr>
        <w:tblBorders/>
      </w:tblPr>
      <w:tcPr>
        <w:shd w:val="clear" w:color="ffffff" w:themeColor="accent3" w:themeTint="40" w:fill="e8e8e8" w:themeFill="accent3" w:themeFillTint="40"/>
        <w:tcBorders/>
      </w:tcPr>
    </w:tblStylePr>
    <w:tblStylePr w:type="band1Vert">
      <w:pPr>
        <w:pBdr/>
        <w:spacing/>
        <w:ind/>
      </w:pPr>
      <w:tblPr>
        <w:tblBorders/>
      </w:tblPr>
      <w:tcPr>
        <w:shd w:val="clear" w:color="ffffff" w:themeColor="accent3" w:themeTint="40" w:fill="e8e8e8" w:themeFill="accent3" w:themeFillTint="40"/>
        <w:tcBorders/>
      </w:tcPr>
    </w:tblStylePr>
    <w:tblStylePr w:type="band2Horz">
      <w:rPr>
        <w:rFonts w:ascii="Arial" w:hAnsi="Arial"/>
        <w:color w:val="404040"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757575" w:themeColor="accent3" w:themeTint="98" w:themeShade="95"/>
      </w:rPr>
      <w:pPr>
        <w:pBdr/>
        <w:spacing/>
        <w:ind/>
      </w:pPr>
      <w:tblPr>
        <w:tblBorders/>
      </w:tblPr>
      <w:tcPr>
        <w:tcBorders/>
      </w:tcPr>
    </w:tblStylePr>
    <w:tblStylePr w:type="firstRow">
      <w:rPr>
        <w:b/>
        <w:color w:val="757575" w:themeColor="accent3" w:themeTint="98" w:themeShade="95"/>
      </w:rPr>
      <w:pPr>
        <w:pBdr/>
        <w:spacing/>
        <w:ind/>
      </w:pPr>
      <w:tblPr>
        <w:tblBorders/>
      </w:tblPr>
      <w:tcPr>
        <w:tcBorders>
          <w:bottom w:val="single" w:color="000000" w:themeColor="accent3" w:themeTint="98" w:sz="4" w:space="0"/>
        </w:tcBorders>
      </w:tcPr>
    </w:tblStylePr>
    <w:tblStylePr w:type="lastCol">
      <w:rPr>
        <w:b/>
        <w:color w:val="757575" w:themeColor="accent3" w:themeTint="98" w:themeShade="95"/>
      </w:rPr>
      <w:pPr>
        <w:pBdr/>
        <w:spacing/>
        <w:ind/>
      </w:pPr>
      <w:tblPr>
        <w:tblBorders/>
      </w:tblPr>
      <w:tcPr>
        <w:tcBorders/>
      </w:tcPr>
    </w:tblStylePr>
    <w:tblStylePr w:type="lastRow">
      <w:rPr>
        <w:b/>
        <w:color w:val="757575" w:themeColor="accent3" w:themeTint="98" w:themeShade="95"/>
      </w:rPr>
      <w:pPr>
        <w:pBdr/>
        <w:spacing/>
        <w:ind/>
      </w:pPr>
      <w:tblPr>
        <w:tblBorders/>
      </w:tblPr>
      <w:tcPr>
        <w:tcBorders>
          <w:top w:val="single" w:color="000000" w:themeColor="accent3"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3">
    <w:name w:val="List Table 6 Colorful - Accent 4"/>
    <w:basedOn w:val="677"/>
    <w:uiPriority w:val="99"/>
    <w:pPr>
      <w:pBdr/>
      <w:spacing w:after="0" w:line="240" w:lineRule="auto"/>
      <w:ind/>
    </w:pPr>
    <w:tblPr>
      <w:tblStyleRowBandSize w:val="1"/>
      <w:tblStyleColBandSize w:val="1"/>
      <w:tblInd w:w="0" w:type="dxa"/>
      <w:tblBorders>
        <w:top w:val="single" w:color="000000" w:themeColor="accent4" w:themeTint="9A" w:sz="4" w:space="0"/>
        <w:bottom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40" w:fill="ffefbf" w:themeFill="accent4" w:themeFillTint="40"/>
        <w:tcBorders/>
      </w:tcPr>
    </w:tblStylePr>
    <w:tblStylePr w:type="band1Vert">
      <w:pPr>
        <w:pBdr/>
        <w:spacing/>
        <w:ind/>
      </w:pPr>
      <w:tblPr>
        <w:tblBorders/>
      </w:tblPr>
      <w:tcPr>
        <w:shd w:val="clear" w:color="ffffff" w:themeColor="accent4" w:themeTint="40" w:fill="ffefbf" w:themeFill="accent4" w:themeFillTint="40"/>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cd9600" w:themeColor="accent4" w:themeTint="9A" w:themeShade="95"/>
      </w:rPr>
      <w:pPr>
        <w:pBdr/>
        <w:spacing/>
        <w:ind/>
      </w:pPr>
      <w:tblPr>
        <w:tblBorders/>
      </w:tblPr>
      <w:tcPr>
        <w:tcBorders/>
      </w:tcPr>
    </w:tblStylePr>
    <w:tblStylePr w:type="firstRow">
      <w:rPr>
        <w:b/>
        <w:color w:val="cd9600" w:themeColor="accent4" w:themeTint="9A" w:themeShade="95"/>
      </w:rPr>
      <w:pPr>
        <w:pBdr/>
        <w:spacing/>
        <w:ind/>
      </w:pPr>
      <w:tblPr>
        <w:tblBorders/>
      </w:tblPr>
      <w:tcPr>
        <w:tcBorders>
          <w:bottom w:val="single" w:color="000000" w:themeColor="accent4" w:themeTint="9A" w:sz="4" w:space="0"/>
        </w:tcBorders>
      </w:tcPr>
    </w:tblStylePr>
    <w:tblStylePr w:type="lastCol">
      <w:rPr>
        <w:b/>
        <w:color w:val="cd9600" w:themeColor="accent4" w:themeTint="9A" w:themeShade="95"/>
      </w:rPr>
      <w:pPr>
        <w:pBdr/>
        <w:spacing/>
        <w:ind/>
      </w:pPr>
      <w:tblPr>
        <w:tblBorders/>
      </w:tblPr>
      <w:tcPr>
        <w:tcBorders/>
      </w:tcPr>
    </w:tblStylePr>
    <w:tblStylePr w:type="lastRow">
      <w:rPr>
        <w:b/>
        <w:color w:val="cd9600" w:themeColor="accent4" w:themeTint="9A" w:themeShade="95"/>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4">
    <w:name w:val="List Table 6 Colorful - Accent 5"/>
    <w:basedOn w:val="677"/>
    <w:uiPriority w:val="99"/>
    <w:pPr>
      <w:pBdr/>
      <w:spacing w:after="0" w:line="240" w:lineRule="auto"/>
      <w:ind/>
    </w:pPr>
    <w:tblPr>
      <w:tblStyleRowBandSize w:val="1"/>
      <w:tblStyleColBandSize w:val="1"/>
      <w:tblInd w:w="0" w:type="dxa"/>
      <w:tblBorders>
        <w:top w:val="single" w:color="000000" w:themeColor="accent5" w:themeTint="9A" w:sz="4" w:space="0"/>
        <w:bottom w:val="single" w:color="000000" w:themeColor="accent5" w:themeTint="9A" w:sz="4" w:space="0"/>
      </w:tblBorders>
    </w:tblPr>
    <w:tcPr>
      <w:tcBorders/>
    </w:tcPr>
    <w:tblStylePr w:type="band1Horz">
      <w:rPr>
        <w:rFonts w:ascii="Arial" w:hAnsi="Arial"/>
        <w:color w:val="404040" w:themeColor="accent5" w:themeTint="9A" w:themeShade="95"/>
        <w:sz w:val="22"/>
      </w:rPr>
      <w:pPr>
        <w:pBdr/>
        <w:spacing/>
        <w:ind/>
      </w:pPr>
      <w:tblPr>
        <w:tblBorders/>
      </w:tblPr>
      <w:tcPr>
        <w:shd w:val="clear" w:color="ffffff" w:themeColor="accent5" w:themeTint="40" w:fill="d5e6f4" w:themeFill="accent5" w:themeFillTint="40"/>
        <w:tcBorders/>
      </w:tcPr>
    </w:tblStylePr>
    <w:tblStylePr w:type="band1Vert">
      <w:pPr>
        <w:pBdr/>
        <w:spacing/>
        <w:ind/>
      </w:pPr>
      <w:tblPr>
        <w:tblBorders/>
      </w:tblPr>
      <w:tcPr>
        <w:shd w:val="clear" w:color="ffffff" w:themeColor="accent5" w:themeTint="40" w:fill="d5e6f4" w:themeFill="accent5" w:themeFillTint="40"/>
        <w:tcBorders/>
      </w:tcPr>
    </w:tblStylePr>
    <w:tblStylePr w:type="band2Horz">
      <w:rPr>
        <w:rFonts w:ascii="Arial" w:hAnsi="Arial"/>
        <w:color w:val="404040"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e78b1" w:themeColor="accent5" w:themeTint="9A" w:themeShade="95"/>
      </w:rPr>
      <w:pPr>
        <w:pBdr/>
        <w:spacing/>
        <w:ind/>
      </w:pPr>
      <w:tblPr>
        <w:tblBorders/>
      </w:tblPr>
      <w:tcPr>
        <w:tcBorders/>
      </w:tcPr>
    </w:tblStylePr>
    <w:tblStylePr w:type="firstRow">
      <w:rPr>
        <w:b/>
        <w:color w:val="2e78b1" w:themeColor="accent5" w:themeTint="9A" w:themeShade="95"/>
      </w:rPr>
      <w:pPr>
        <w:pBdr/>
        <w:spacing/>
        <w:ind/>
      </w:pPr>
      <w:tblPr>
        <w:tblBorders/>
      </w:tblPr>
      <w:tcPr>
        <w:tcBorders>
          <w:bottom w:val="single" w:color="000000" w:themeColor="accent5" w:themeTint="9A" w:sz="4" w:space="0"/>
        </w:tcBorders>
      </w:tcPr>
    </w:tblStylePr>
    <w:tblStylePr w:type="lastCol">
      <w:rPr>
        <w:b/>
        <w:color w:val="2e78b1" w:themeColor="accent5" w:themeTint="9A" w:themeShade="95"/>
      </w:rPr>
      <w:pPr>
        <w:pBdr/>
        <w:spacing/>
        <w:ind/>
      </w:pPr>
      <w:tblPr>
        <w:tblBorders/>
      </w:tblPr>
      <w:tcPr>
        <w:tcBorders/>
      </w:tcPr>
    </w:tblStylePr>
    <w:tblStylePr w:type="lastRow">
      <w:rPr>
        <w:b/>
        <w:color w:val="2e78b1" w:themeColor="accent5" w:themeTint="9A" w:themeShade="95"/>
      </w:rPr>
      <w:pPr>
        <w:pBdr/>
        <w:spacing/>
        <w:ind/>
      </w:pPr>
      <w:tblPr>
        <w:tblBorders/>
      </w:tblPr>
      <w:tcPr>
        <w:tcBorders>
          <w:top w:val="single" w:color="000000" w:themeColor="accent5"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5">
    <w:name w:val="List Table 6 Colorful - Accent 6"/>
    <w:basedOn w:val="677"/>
    <w:uiPriority w:val="99"/>
    <w:pPr>
      <w:pBdr/>
      <w:spacing w:after="0" w:line="240" w:lineRule="auto"/>
      <w:ind/>
    </w:pPr>
    <w:tblPr>
      <w:tblStyleRowBandSize w:val="1"/>
      <w:tblStyleColBandSize w:val="1"/>
      <w:tblInd w:w="0" w:type="dxa"/>
      <w:tblBorders>
        <w:top w:val="single" w:color="000000" w:themeColor="accent6" w:themeTint="98" w:sz="4" w:space="0"/>
        <w:bottom w:val="single" w:color="000000" w:themeColor="accent6" w:themeTint="98" w:sz="4" w:space="0"/>
      </w:tblBorders>
    </w:tblPr>
    <w:tcPr>
      <w:tcBorders/>
    </w:tcPr>
    <w:tblStylePr w:type="band1Horz">
      <w:rPr>
        <w:rFonts w:ascii="Arial" w:hAnsi="Arial"/>
        <w:color w:val="404040" w:themeColor="accent6" w:themeTint="98" w:themeShade="95"/>
        <w:sz w:val="22"/>
      </w:rPr>
      <w:pPr>
        <w:pBdr/>
        <w:spacing/>
        <w:ind/>
      </w:pPr>
      <w:tblPr>
        <w:tblBorders/>
      </w:tblPr>
      <w:tcPr>
        <w:shd w:val="clear" w:color="ffffff" w:themeColor="accent6" w:themeTint="40" w:fill="dbebd0" w:themeFill="accent6" w:themeFillTint="40"/>
        <w:tcBorders/>
      </w:tcPr>
    </w:tblStylePr>
    <w:tblStylePr w:type="band1Vert">
      <w:pPr>
        <w:pBdr/>
        <w:spacing/>
        <w:ind/>
      </w:pPr>
      <w:tblPr>
        <w:tblBorders/>
      </w:tblPr>
      <w:tcPr>
        <w:shd w:val="clear" w:color="ffffff" w:themeColor="accent6" w:themeTint="40" w:fill="dbebd0" w:themeFill="accent6" w:themeFillTint="40"/>
        <w:tcBorders/>
      </w:tcPr>
    </w:tblStylePr>
    <w:tblStylePr w:type="band2Horz">
      <w:rPr>
        <w:rFonts w:ascii="Arial" w:hAnsi="Arial"/>
        <w:color w:val="404040"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5f8f3c" w:themeColor="accent6" w:themeTint="98" w:themeShade="95"/>
      </w:rPr>
      <w:pPr>
        <w:pBdr/>
        <w:spacing/>
        <w:ind/>
      </w:pPr>
      <w:tblPr>
        <w:tblBorders/>
      </w:tblPr>
      <w:tcPr>
        <w:tcBorders/>
      </w:tcPr>
    </w:tblStylePr>
    <w:tblStylePr w:type="firstRow">
      <w:rPr>
        <w:b/>
        <w:color w:val="5f8f3c" w:themeColor="accent6" w:themeTint="98" w:themeShade="95"/>
      </w:rPr>
      <w:pPr>
        <w:pBdr/>
        <w:spacing/>
        <w:ind/>
      </w:pPr>
      <w:tblPr>
        <w:tblBorders/>
      </w:tblPr>
      <w:tcPr>
        <w:tcBorders>
          <w:bottom w:val="single" w:color="000000" w:themeColor="accent6" w:themeTint="98" w:sz="4" w:space="0"/>
        </w:tcBorders>
      </w:tcPr>
    </w:tblStylePr>
    <w:tblStylePr w:type="lastCol">
      <w:rPr>
        <w:b/>
        <w:color w:val="5f8f3c" w:themeColor="accent6" w:themeTint="98" w:themeShade="95"/>
      </w:rPr>
      <w:pPr>
        <w:pBdr/>
        <w:spacing/>
        <w:ind/>
      </w:pPr>
      <w:tblPr>
        <w:tblBorders/>
      </w:tblPr>
      <w:tcPr>
        <w:tcBorders/>
      </w:tcPr>
    </w:tblStylePr>
    <w:tblStylePr w:type="lastRow">
      <w:rPr>
        <w:b/>
        <w:color w:val="5f8f3c" w:themeColor="accent6" w:themeTint="98" w:themeShade="95"/>
      </w:rPr>
      <w:pPr>
        <w:pBdr/>
        <w:spacing/>
        <w:ind/>
      </w:pPr>
      <w:tblPr>
        <w:tblBorders/>
      </w:tblPr>
      <w:tcPr>
        <w:tcBorders>
          <w:top w:val="single" w:color="000000" w:themeColor="accent6"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6">
    <w:name w:val="List Table 7 Colorful"/>
    <w:basedOn w:val="677"/>
    <w:uiPriority w:val="99"/>
    <w:pPr>
      <w:pBdr/>
      <w:spacing w:after="0" w:line="240" w:lineRule="auto"/>
      <w:ind/>
    </w:pPr>
    <w:tblPr>
      <w:tblStyleRowBandSize w:val="1"/>
      <w:tblStyleColBandSize w:val="1"/>
      <w:tblInd w:w="0" w:type="dxa"/>
      <w:tblBorders>
        <w:right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color="ffffff"/>
        <w:tcBorders>
          <w:top w:val="none"/>
          <w:left w:val="none"/>
          <w:bottom w:val="none"/>
          <w:right w:val="single" w:color="000000" w:themeColor="text1" w:themeTint="80" w:sz="4" w:space="0"/>
        </w:tcBorders>
      </w:tcPr>
    </w:tblStylePr>
    <w:tblStylePr w:type="fir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pPr>
        <w:pBdr/>
        <w:spacing/>
        <w:ind/>
      </w:pPr>
      <w:tblPr>
        <w:tblBorders/>
      </w:tblPr>
      <w:tcPr>
        <w:shd w:color="ffffff"/>
        <w:tcBorders>
          <w:top w:val="none"/>
          <w:left w:val="single" w:color="000000" w:themeColor="text1" w:themeTint="80" w:sz="4" w:space="0"/>
          <w:bottom w:val="none"/>
          <w:right w:val="none"/>
        </w:tcBorders>
      </w:tcPr>
    </w:tblStylePr>
    <w:tblStylePr w:type="la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a4a4a" w:themeColor="text1" w:themeTint="80" w:themeShade="95"/>
        <w:sz w:val="22"/>
      </w:rPr>
      <w:pPr>
        <w:pBdr/>
        <w:spacing/>
        <w:ind/>
      </w:pPr>
      <w:tblPr>
        <w:tblBorders/>
      </w:tblPr>
      <w:tcPr>
        <w:tcBorders/>
      </w:tcPr>
    </w:tblStylePr>
  </w:style>
  <w:style w:type="table" w:styleId="147">
    <w:name w:val="List Table 7 Colorful - Accent 1"/>
    <w:basedOn w:val="677"/>
    <w:uiPriority w:val="99"/>
    <w:pPr>
      <w:pBdr/>
      <w:spacing w:after="0" w:line="240" w:lineRule="auto"/>
      <w:ind/>
    </w:pPr>
    <w:tblPr>
      <w:tblStyleRowBandSize w:val="1"/>
      <w:tblStyleColBandSize w:val="1"/>
      <w:tblInd w:w="0" w:type="dxa"/>
      <w:tblBorders>
        <w:right w:val="single" w:color="000000" w:themeColor="accent1" w:sz="4" w:space="0"/>
      </w:tblBorders>
    </w:tblPr>
    <w:tcPr>
      <w:tcBorders/>
    </w:tcPr>
    <w:tblStylePr w:type="band1Horz">
      <w:rPr>
        <w:rFonts w:ascii="Arial" w:hAnsi="Arial"/>
        <w:color w:val="254374" w:themeColor="accent1" w:themeShade="95"/>
        <w:sz w:val="22"/>
      </w:rPr>
      <w:pPr>
        <w:pBdr/>
        <w:spacing/>
        <w:ind/>
      </w:pPr>
      <w:tblPr>
        <w:tblBorders/>
      </w:tblPr>
      <w:tcPr>
        <w:shd w:val="clear" w:color="ffffff" w:themeColor="accent1" w:themeTint="40" w:fill="cfdcf0" w:themeFill="accent1" w:themeFillTint="40"/>
        <w:tcBorders/>
      </w:tcPr>
    </w:tblStylePr>
    <w:tblStylePr w:type="band1Vert">
      <w:pPr>
        <w:pBdr/>
        <w:spacing/>
        <w:ind/>
      </w:pPr>
      <w:tblPr>
        <w:tblBorders/>
      </w:tblPr>
      <w:tcPr>
        <w:shd w:val="clear" w:color="ffffff" w:themeColor="accent1" w:themeTint="40" w:fill="cfdcf0" w:themeFill="accent1" w:themeFillTint="40"/>
        <w:tcBorders/>
      </w:tcPr>
    </w:tblStylePr>
    <w:tblStylePr w:type="band2Horz">
      <w:rPr>
        <w:rFonts w:ascii="Arial" w:hAnsi="Arial"/>
        <w:color w:val="254374"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54374" w:themeColor="accent1" w:themeShade="95"/>
        <w:sz w:val="22"/>
      </w:rPr>
      <w:pPr>
        <w:pBdr/>
        <w:spacing/>
        <w:ind/>
        <w:jc w:val="right"/>
      </w:pPr>
      <w:tblPr>
        <w:tblBorders/>
      </w:tblPr>
      <w:tcPr>
        <w:shd w:color="ffffff"/>
        <w:tcBorders>
          <w:top w:val="none"/>
          <w:left w:val="none"/>
          <w:bottom w:val="none"/>
          <w:right w:val="single" w:color="000000" w:themeColor="accent1" w:sz="4" w:space="0"/>
        </w:tcBorders>
      </w:tcPr>
    </w:tblStylePr>
    <w:tblStylePr w:type="firstRow">
      <w:rPr>
        <w:rFonts w:ascii="Arial" w:hAnsi="Arial"/>
        <w:i/>
        <w:color w:val="254374" w:themeColor="accent1" w:themeShade="95"/>
        <w:sz w:val="22"/>
      </w:rPr>
      <w:pPr>
        <w:pBdr/>
        <w:spacing/>
        <w:ind/>
      </w:pPr>
      <w:tblPr>
        <w:tblBorders/>
      </w:tblPr>
      <w:tcPr>
        <w:shd w:val="clear" w:color="ffffff" w:themeColor="light1" w:fill="ffffff" w:themeFill="light1"/>
        <w:tcBorders>
          <w:top w:val="none"/>
          <w:left w:val="none"/>
          <w:bottom w:val="single" w:color="000000" w:themeColor="accent1" w:sz="4" w:space="0"/>
          <w:right w:val="none"/>
        </w:tcBorders>
      </w:tcPr>
    </w:tblStylePr>
    <w:tblStylePr w:type="lastCol">
      <w:rPr>
        <w:rFonts w:ascii="Arial" w:hAnsi="Arial"/>
        <w:i/>
        <w:color w:val="254374" w:themeColor="accent1" w:themeShade="95"/>
        <w:sz w:val="22"/>
      </w:rPr>
      <w:pPr>
        <w:pBdr/>
        <w:spacing/>
        <w:ind/>
      </w:pPr>
      <w:tblPr>
        <w:tblBorders/>
      </w:tblPr>
      <w:tcPr>
        <w:shd w:color="ffffff"/>
        <w:tcBorders>
          <w:top w:val="none"/>
          <w:left w:val="single" w:color="000000" w:themeColor="accent1" w:sz="4" w:space="0"/>
          <w:bottom w:val="none"/>
          <w:right w:val="none"/>
        </w:tcBorders>
      </w:tcPr>
    </w:tblStylePr>
    <w:tblStylePr w:type="lastRow">
      <w:rPr>
        <w:rFonts w:ascii="Arial" w:hAnsi="Arial"/>
        <w:i/>
        <w:color w:val="254374" w:themeColor="accent1" w:themeShade="95"/>
        <w:sz w:val="22"/>
      </w:rPr>
      <w:pPr>
        <w:pBdr/>
        <w:spacing/>
        <w:ind/>
      </w:pPr>
      <w:tblPr>
        <w:tblBorders/>
      </w:tblPr>
      <w:tcPr>
        <w:shd w:val="clear" w:color="ffffff" w:themeColor="light1" w:fill="ffffff" w:themeFill="light1"/>
        <w:tcBorders>
          <w:top w:val="single" w:color="000000" w:themeColor="accent1"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254374" w:themeColor="accent1" w:themeShade="95"/>
        <w:sz w:val="22"/>
      </w:rPr>
      <w:pPr>
        <w:pBdr/>
        <w:spacing/>
        <w:ind/>
      </w:pPr>
      <w:tblPr>
        <w:tblBorders/>
      </w:tblPr>
      <w:tcPr>
        <w:tcBorders/>
      </w:tcPr>
    </w:tblStylePr>
  </w:style>
  <w:style w:type="table" w:styleId="148">
    <w:name w:val="List Table 7 Colorful - Accent 2"/>
    <w:basedOn w:val="677"/>
    <w:uiPriority w:val="99"/>
    <w:pPr>
      <w:pBdr/>
      <w:spacing w:after="0" w:line="240" w:lineRule="auto"/>
      <w:ind/>
    </w:pPr>
    <w:tblPr>
      <w:tblStyleRowBandSize w:val="1"/>
      <w:tblStyleColBandSize w:val="1"/>
      <w:tblInd w:w="0" w:type="dxa"/>
      <w:tblBorders>
        <w:right w:val="single" w:color="000000" w:themeColor="accent2" w:themeTint="97" w:sz="4" w:space="0"/>
      </w:tblBorders>
    </w:tblPr>
    <w:tcPr>
      <w:tcBorders/>
    </w:tcPr>
    <w:tblStylePr w:type="band1Horz">
      <w:rPr>
        <w:rFonts w:ascii="Arial" w:hAnsi="Arial"/>
        <w:color w:val="c95712" w:themeColor="accent2" w:themeTint="97" w:themeShade="95"/>
        <w:sz w:val="22"/>
      </w:rPr>
      <w:pPr>
        <w:pBdr/>
        <w:spacing/>
        <w:ind/>
      </w:pPr>
      <w:tblPr>
        <w:tblBorders/>
      </w:tblPr>
      <w:tcPr>
        <w:shd w:val="clear" w:color="ffffff" w:themeColor="accent2" w:themeTint="40" w:fill="fadecb" w:themeFill="accent2" w:themeFillTint="40"/>
        <w:tcBorders/>
      </w:tcPr>
    </w:tblStylePr>
    <w:tblStylePr w:type="band1Vert">
      <w:pPr>
        <w:pBdr/>
        <w:spacing/>
        <w:ind/>
      </w:pPr>
      <w:tblPr>
        <w:tblBorders/>
      </w:tblPr>
      <w:tcPr>
        <w:shd w:val="clear" w:color="ffffff" w:themeColor="accent2" w:themeTint="40" w:fill="fadecb" w:themeFill="accent2" w:themeFillTint="40"/>
        <w:tcBorders/>
      </w:tcPr>
    </w:tblStylePr>
    <w:tblStylePr w:type="band2Horz">
      <w:rPr>
        <w:rFonts w:ascii="Arial" w:hAnsi="Arial"/>
        <w:color w:val="c95712"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c95712" w:themeColor="accent2" w:themeTint="97" w:themeShade="95"/>
        <w:sz w:val="22"/>
      </w:rPr>
      <w:pPr>
        <w:pBdr/>
        <w:spacing/>
        <w:ind/>
        <w:jc w:val="right"/>
      </w:pPr>
      <w:tblPr>
        <w:tblBorders/>
      </w:tblPr>
      <w:tcPr>
        <w:shd w:color="ffffff"/>
        <w:tcBorders>
          <w:top w:val="none"/>
          <w:left w:val="none"/>
          <w:bottom w:val="none"/>
          <w:right w:val="single" w:color="000000" w:themeColor="accent2" w:themeTint="97" w:sz="4" w:space="0"/>
        </w:tcBorders>
      </w:tcPr>
    </w:tblStylePr>
    <w:tblStylePr w:type="firstRow">
      <w:rPr>
        <w:rFonts w:ascii="Arial" w:hAnsi="Arial"/>
        <w:i/>
        <w:color w:val="c95712" w:themeColor="accent2" w:themeTint="97" w:themeShade="95"/>
        <w:sz w:val="22"/>
      </w:rPr>
      <w:pPr>
        <w:pBdr/>
        <w:spacing/>
        <w:ind/>
      </w:pPr>
      <w:tblPr>
        <w:tblBorders/>
      </w:tbl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c95712" w:themeColor="accent2" w:themeTint="97" w:themeShade="95"/>
        <w:sz w:val="22"/>
      </w:rPr>
      <w:pPr>
        <w:pBdr/>
        <w:spacing/>
        <w:ind/>
      </w:pPr>
      <w:tblPr>
        <w:tblBorders/>
      </w:tblPr>
      <w:tcPr>
        <w:shd w:color="ffffff"/>
        <w:tcBorders>
          <w:top w:val="none"/>
          <w:left w:val="single" w:color="000000" w:themeColor="accent2" w:themeTint="97" w:sz="4" w:space="0"/>
          <w:bottom w:val="none"/>
          <w:right w:val="none"/>
        </w:tcBorders>
      </w:tcPr>
    </w:tblStylePr>
    <w:tblStylePr w:type="lastRow">
      <w:rPr>
        <w:rFonts w:ascii="Arial" w:hAnsi="Arial"/>
        <w:i/>
        <w:color w:val="c95712"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c95712" w:themeColor="accent2" w:themeTint="97" w:themeShade="95"/>
        <w:sz w:val="22"/>
      </w:rPr>
      <w:pPr>
        <w:pBdr/>
        <w:spacing/>
        <w:ind/>
      </w:pPr>
      <w:tblPr>
        <w:tblBorders/>
      </w:tblPr>
      <w:tcPr>
        <w:tcBorders/>
      </w:tcPr>
    </w:tblStylePr>
  </w:style>
  <w:style w:type="table" w:styleId="149">
    <w:name w:val="List Table 7 Colorful - Accent 3"/>
    <w:basedOn w:val="677"/>
    <w:uiPriority w:val="99"/>
    <w:pPr>
      <w:pBdr/>
      <w:spacing w:after="0" w:line="240" w:lineRule="auto"/>
      <w:ind/>
    </w:pPr>
    <w:tblPr>
      <w:tblStyleRowBandSize w:val="1"/>
      <w:tblStyleColBandSize w:val="1"/>
      <w:tblInd w:w="0" w:type="dxa"/>
      <w:tblBorders>
        <w:right w:val="single" w:color="000000" w:themeColor="accent3" w:themeTint="98" w:sz="4" w:space="0"/>
      </w:tblBorders>
    </w:tblPr>
    <w:tcPr>
      <w:tcBorders/>
    </w:tcPr>
    <w:tblStylePr w:type="band1Horz">
      <w:rPr>
        <w:rFonts w:ascii="Arial" w:hAnsi="Arial"/>
        <w:color w:val="757575" w:themeColor="accent3" w:themeTint="98" w:themeShade="95"/>
        <w:sz w:val="22"/>
      </w:rPr>
      <w:pPr>
        <w:pBdr/>
        <w:spacing/>
        <w:ind/>
      </w:pPr>
      <w:tblPr>
        <w:tblBorders/>
      </w:tblPr>
      <w:tcPr>
        <w:shd w:val="clear" w:color="ffffff" w:themeColor="accent3" w:themeTint="40" w:fill="e8e8e8" w:themeFill="accent3" w:themeFillTint="40"/>
        <w:tcBorders/>
      </w:tcPr>
    </w:tblStylePr>
    <w:tblStylePr w:type="band1Vert">
      <w:pPr>
        <w:pBdr/>
        <w:spacing/>
        <w:ind/>
      </w:pPr>
      <w:tblPr>
        <w:tblBorders/>
      </w:tblPr>
      <w:tcPr>
        <w:shd w:val="clear" w:color="ffffff" w:themeColor="accent3" w:themeTint="40" w:fill="e8e8e8" w:themeFill="accent3" w:themeFillTint="40"/>
        <w:tcBorders/>
      </w:tcPr>
    </w:tblStylePr>
    <w:tblStylePr w:type="band2Horz">
      <w:rPr>
        <w:rFonts w:ascii="Arial" w:hAnsi="Arial"/>
        <w:color w:val="757575"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757575" w:themeColor="accent3" w:themeTint="98" w:themeShade="95"/>
        <w:sz w:val="22"/>
      </w:rPr>
      <w:pPr>
        <w:pBdr/>
        <w:spacing/>
        <w:ind/>
        <w:jc w:val="right"/>
      </w:pPr>
      <w:tblPr>
        <w:tblBorders/>
      </w:tblPr>
      <w:tcPr>
        <w:shd w:color="ffffff"/>
        <w:tcBorders>
          <w:top w:val="none"/>
          <w:left w:val="none"/>
          <w:bottom w:val="none"/>
          <w:right w:val="single" w:color="000000" w:themeColor="accent3" w:themeTint="98" w:sz="4" w:space="0"/>
        </w:tcBorders>
      </w:tcPr>
    </w:tblStylePr>
    <w:tblStylePr w:type="firstRow">
      <w:rPr>
        <w:rFonts w:ascii="Arial" w:hAnsi="Arial"/>
        <w:i/>
        <w:color w:val="757575" w:themeColor="accent3" w:themeTint="98" w:themeShade="95"/>
        <w:sz w:val="22"/>
      </w:rPr>
      <w:pPr>
        <w:pBdr/>
        <w:spacing/>
        <w:ind/>
      </w:pPr>
      <w:tblPr>
        <w:tblBorders/>
      </w:tblPr>
      <w:tcPr>
        <w:shd w:val="clear" w:color="ffffff" w:themeColor="light1" w:fill="ffffff" w:themeFill="light1"/>
        <w:tcBorders>
          <w:top w:val="none"/>
          <w:left w:val="none"/>
          <w:bottom w:val="single" w:color="000000" w:themeColor="accent3" w:themeTint="98" w:sz="4" w:space="0"/>
          <w:right w:val="none"/>
        </w:tcBorders>
      </w:tcPr>
    </w:tblStylePr>
    <w:tblStylePr w:type="lastCol">
      <w:rPr>
        <w:rFonts w:ascii="Arial" w:hAnsi="Arial"/>
        <w:i/>
        <w:color w:val="757575" w:themeColor="accent3" w:themeTint="98" w:themeShade="95"/>
        <w:sz w:val="22"/>
      </w:rPr>
      <w:pPr>
        <w:pBdr/>
        <w:spacing/>
        <w:ind/>
      </w:pPr>
      <w:tblPr>
        <w:tblBorders/>
      </w:tblPr>
      <w:tcPr>
        <w:shd w:color="ffffff"/>
        <w:tcBorders>
          <w:top w:val="none"/>
          <w:left w:val="single" w:color="000000" w:themeColor="accent3" w:themeTint="98" w:sz="4" w:space="0"/>
          <w:bottom w:val="none"/>
          <w:right w:val="none"/>
        </w:tcBorders>
      </w:tcPr>
    </w:tblStylePr>
    <w:tblStylePr w:type="lastRow">
      <w:rPr>
        <w:rFonts w:ascii="Arial" w:hAnsi="Arial"/>
        <w:i/>
        <w:color w:val="757575" w:themeColor="accent3" w:themeTint="98" w:themeShade="95"/>
        <w:sz w:val="22"/>
      </w:rPr>
      <w:pPr>
        <w:pBdr/>
        <w:spacing/>
        <w:ind/>
      </w:pPr>
      <w:tblPr>
        <w:tblBorders/>
      </w:tblPr>
      <w:tcPr>
        <w:shd w:val="clear" w:color="ffffff" w:themeColor="light1" w:fill="ffffff" w:themeFill="light1"/>
        <w:tcBorders>
          <w:top w:val="single" w:color="000000" w:themeColor="accent3" w:themeTint="98"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757575" w:themeColor="accent3" w:themeTint="98" w:themeShade="95"/>
        <w:sz w:val="22"/>
      </w:rPr>
      <w:pPr>
        <w:pBdr/>
        <w:spacing/>
        <w:ind/>
      </w:pPr>
      <w:tblPr>
        <w:tblBorders/>
      </w:tblPr>
      <w:tcPr>
        <w:tcBorders/>
      </w:tcPr>
    </w:tblStylePr>
  </w:style>
  <w:style w:type="table" w:styleId="150">
    <w:name w:val="List Table 7 Colorful - Accent 4"/>
    <w:basedOn w:val="677"/>
    <w:uiPriority w:val="99"/>
    <w:pPr>
      <w:pBdr/>
      <w:spacing w:after="0" w:line="240" w:lineRule="auto"/>
      <w:ind/>
    </w:pPr>
    <w:tblPr>
      <w:tblStyleRowBandSize w:val="1"/>
      <w:tblStyleColBandSize w:val="1"/>
      <w:tblInd w:w="0" w:type="dxa"/>
      <w:tblBorders>
        <w:right w:val="single" w:color="000000" w:themeColor="accent4" w:themeTint="9A" w:sz="4" w:space="0"/>
      </w:tblBorders>
    </w:tblPr>
    <w:tcPr>
      <w:tcBorders/>
    </w:tcPr>
    <w:tblStylePr w:type="band1Horz">
      <w:rPr>
        <w:rFonts w:ascii="Arial" w:hAnsi="Arial"/>
        <w:color w:val="cd9600" w:themeColor="accent4" w:themeTint="9A" w:themeShade="95"/>
        <w:sz w:val="22"/>
      </w:rPr>
      <w:pPr>
        <w:pBdr/>
        <w:spacing/>
        <w:ind/>
      </w:pPr>
      <w:tblPr>
        <w:tblBorders/>
      </w:tblPr>
      <w:tcPr>
        <w:shd w:val="clear" w:color="ffffff" w:themeColor="accent4" w:themeTint="40" w:fill="ffefbf" w:themeFill="accent4" w:themeFillTint="40"/>
        <w:tcBorders/>
      </w:tcPr>
    </w:tblStylePr>
    <w:tblStylePr w:type="band1Vert">
      <w:pPr>
        <w:pBdr/>
        <w:spacing/>
        <w:ind/>
      </w:pPr>
      <w:tblPr>
        <w:tblBorders/>
      </w:tblPr>
      <w:tcPr>
        <w:shd w:val="clear" w:color="ffffff" w:themeColor="accent4" w:themeTint="40" w:fill="ffefbf" w:themeFill="accent4" w:themeFillTint="40"/>
        <w:tcBorders/>
      </w:tcPr>
    </w:tblStylePr>
    <w:tblStylePr w:type="band2Horz">
      <w:rPr>
        <w:rFonts w:ascii="Arial" w:hAnsi="Arial"/>
        <w:color w:val="cd960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cd9600" w:themeColor="accent4" w:themeTint="9A" w:themeShade="95"/>
        <w:sz w:val="22"/>
      </w:rPr>
      <w:pPr>
        <w:pBdr/>
        <w:spacing/>
        <w:ind/>
        <w:jc w:val="right"/>
      </w:pPr>
      <w:tblPr>
        <w:tblBorders/>
      </w:tblPr>
      <w:tcPr>
        <w:shd w:color="ffffff"/>
        <w:tcBorders>
          <w:top w:val="none"/>
          <w:left w:val="none"/>
          <w:bottom w:val="none"/>
          <w:right w:val="single" w:color="000000" w:themeColor="accent4" w:themeTint="9A" w:sz="4" w:space="0"/>
        </w:tcBorders>
      </w:tcPr>
    </w:tblStylePr>
    <w:tblStylePr w:type="firstRow">
      <w:rPr>
        <w:rFonts w:ascii="Arial" w:hAnsi="Arial"/>
        <w:i/>
        <w:color w:val="cd9600" w:themeColor="accent4" w:themeTint="9A" w:themeShade="95"/>
        <w:sz w:val="22"/>
      </w:rPr>
      <w:pPr>
        <w:pBdr/>
        <w:spacing/>
        <w:ind/>
      </w:pPr>
      <w:tblPr>
        <w:tblBorders/>
      </w:tbl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cd9600" w:themeColor="accent4" w:themeTint="9A" w:themeShade="95"/>
        <w:sz w:val="22"/>
      </w:rPr>
      <w:pPr>
        <w:pBdr/>
        <w:spacing/>
        <w:ind/>
      </w:pPr>
      <w:tblPr>
        <w:tblBorders/>
      </w:tblPr>
      <w:tcPr>
        <w:shd w:color="ffffff"/>
        <w:tcBorders>
          <w:top w:val="none"/>
          <w:left w:val="single" w:color="000000" w:themeColor="accent4" w:themeTint="9A" w:sz="4" w:space="0"/>
          <w:bottom w:val="none"/>
          <w:right w:val="none"/>
        </w:tcBorders>
      </w:tcPr>
    </w:tblStylePr>
    <w:tblStylePr w:type="lastRow">
      <w:rPr>
        <w:rFonts w:ascii="Arial" w:hAnsi="Arial"/>
        <w:i/>
        <w:color w:val="cd9600"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cd9600" w:themeColor="accent4" w:themeTint="9A" w:themeShade="95"/>
        <w:sz w:val="22"/>
      </w:rPr>
      <w:pPr>
        <w:pBdr/>
        <w:spacing/>
        <w:ind/>
      </w:pPr>
      <w:tblPr>
        <w:tblBorders/>
      </w:tblPr>
      <w:tcPr>
        <w:tcBorders/>
      </w:tcPr>
    </w:tblStylePr>
  </w:style>
  <w:style w:type="table" w:styleId="151">
    <w:name w:val="List Table 7 Colorful - Accent 5"/>
    <w:basedOn w:val="677"/>
    <w:uiPriority w:val="99"/>
    <w:pPr>
      <w:pBdr/>
      <w:spacing w:after="0" w:line="240" w:lineRule="auto"/>
      <w:ind/>
    </w:pPr>
    <w:tblPr>
      <w:tblStyleRowBandSize w:val="1"/>
      <w:tblStyleColBandSize w:val="1"/>
      <w:tblInd w:w="0" w:type="dxa"/>
      <w:tblBorders>
        <w:right w:val="single" w:color="000000" w:themeColor="accent5" w:themeTint="9A" w:sz="4" w:space="0"/>
      </w:tblBorders>
    </w:tblPr>
    <w:tcPr>
      <w:tcBorders/>
    </w:tcPr>
    <w:tblStylePr w:type="band1Horz">
      <w:rPr>
        <w:rFonts w:ascii="Arial" w:hAnsi="Arial"/>
        <w:color w:val="2e78b1" w:themeColor="accent5" w:themeTint="9A" w:themeShade="95"/>
        <w:sz w:val="22"/>
      </w:rPr>
      <w:pPr>
        <w:pBdr/>
        <w:spacing/>
        <w:ind/>
      </w:pPr>
      <w:tblPr>
        <w:tblBorders/>
      </w:tblPr>
      <w:tcPr>
        <w:shd w:val="clear" w:color="ffffff" w:themeColor="accent5" w:themeTint="40" w:fill="d5e6f4" w:themeFill="accent5" w:themeFillTint="40"/>
        <w:tcBorders/>
      </w:tcPr>
    </w:tblStylePr>
    <w:tblStylePr w:type="band1Vert">
      <w:pPr>
        <w:pBdr/>
        <w:spacing/>
        <w:ind/>
      </w:pPr>
      <w:tblPr>
        <w:tblBorders/>
      </w:tblPr>
      <w:tcPr>
        <w:shd w:val="clear" w:color="ffffff" w:themeColor="accent5" w:themeTint="40" w:fill="d5e6f4" w:themeFill="accent5" w:themeFillTint="40"/>
        <w:tcBorders/>
      </w:tcPr>
    </w:tblStylePr>
    <w:tblStylePr w:type="band2Horz">
      <w:rPr>
        <w:rFonts w:ascii="Arial" w:hAnsi="Arial"/>
        <w:color w:val="2e78b1"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e78b1" w:themeColor="accent5" w:themeTint="9A" w:themeShade="95"/>
        <w:sz w:val="22"/>
      </w:rPr>
      <w:pPr>
        <w:pBdr/>
        <w:spacing/>
        <w:ind/>
        <w:jc w:val="right"/>
      </w:pPr>
      <w:tblPr>
        <w:tblBorders/>
      </w:tblPr>
      <w:tcPr>
        <w:shd w:color="ffffff"/>
        <w:tcBorders>
          <w:top w:val="none"/>
          <w:left w:val="none"/>
          <w:bottom w:val="none"/>
          <w:right w:val="single" w:color="000000" w:themeColor="accent5" w:themeTint="9A" w:sz="4" w:space="0"/>
        </w:tcBorders>
      </w:tcPr>
    </w:tblStylePr>
    <w:tblStylePr w:type="firstRow">
      <w:rPr>
        <w:rFonts w:ascii="Arial" w:hAnsi="Arial"/>
        <w:i/>
        <w:color w:val="2e78b1" w:themeColor="accent5" w:themeTint="9A" w:themeShade="95"/>
        <w:sz w:val="22"/>
      </w:rPr>
      <w:pPr>
        <w:pBdr/>
        <w:spacing/>
        <w:ind/>
      </w:pPr>
      <w:tblPr>
        <w:tblBorders/>
      </w:tblPr>
      <w:tcPr>
        <w:shd w:val="clear" w:color="ffffff" w:themeColor="light1" w:fill="ffffff" w:themeFill="light1"/>
        <w:tcBorders>
          <w:top w:val="none"/>
          <w:left w:val="none"/>
          <w:bottom w:val="single" w:color="000000" w:themeColor="accent5" w:themeTint="9A" w:sz="4" w:space="0"/>
          <w:right w:val="none"/>
        </w:tcBorders>
      </w:tcPr>
    </w:tblStylePr>
    <w:tblStylePr w:type="lastCol">
      <w:rPr>
        <w:rFonts w:ascii="Arial" w:hAnsi="Arial"/>
        <w:i/>
        <w:color w:val="2e78b1" w:themeColor="accent5" w:themeTint="9A" w:themeShade="95"/>
        <w:sz w:val="22"/>
      </w:rPr>
      <w:pPr>
        <w:pBdr/>
        <w:spacing/>
        <w:ind/>
      </w:pPr>
      <w:tblPr>
        <w:tblBorders/>
      </w:tblPr>
      <w:tcPr>
        <w:shd w:color="ffffff"/>
        <w:tcBorders>
          <w:top w:val="none"/>
          <w:left w:val="single" w:color="000000" w:themeColor="accent5" w:themeTint="9A" w:sz="4" w:space="0"/>
          <w:bottom w:val="none"/>
          <w:right w:val="none"/>
        </w:tcBorders>
      </w:tcPr>
    </w:tblStylePr>
    <w:tblStylePr w:type="lastRow">
      <w:rPr>
        <w:rFonts w:ascii="Arial" w:hAnsi="Arial"/>
        <w:i/>
        <w:color w:val="2e78b1" w:themeColor="accent5" w:themeTint="9A" w:themeShade="95"/>
        <w:sz w:val="22"/>
      </w:rPr>
      <w:pPr>
        <w:pBdr/>
        <w:spacing/>
        <w:ind/>
      </w:pPr>
      <w:tblPr>
        <w:tblBorders/>
      </w:tblPr>
      <w:tcPr>
        <w:shd w:val="clear" w:color="ffffff" w:themeColor="light1" w:fill="ffffff" w:themeFill="light1"/>
        <w:tcBorders>
          <w:top w:val="single" w:color="000000" w:themeColor="accent5"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2e78b1" w:themeColor="accent5" w:themeTint="9A" w:themeShade="95"/>
        <w:sz w:val="22"/>
      </w:rPr>
      <w:pPr>
        <w:pBdr/>
        <w:spacing/>
        <w:ind/>
      </w:pPr>
      <w:tblPr>
        <w:tblBorders/>
      </w:tblPr>
      <w:tcPr>
        <w:tcBorders/>
      </w:tcPr>
    </w:tblStylePr>
  </w:style>
  <w:style w:type="table" w:styleId="152">
    <w:name w:val="List Table 7 Colorful - Accent 6"/>
    <w:basedOn w:val="677"/>
    <w:uiPriority w:val="99"/>
    <w:pPr>
      <w:pBdr/>
      <w:spacing w:after="0" w:line="240" w:lineRule="auto"/>
      <w:ind/>
    </w:pPr>
    <w:tblPr>
      <w:tblStyleRowBandSize w:val="1"/>
      <w:tblStyleColBandSize w:val="1"/>
      <w:tblInd w:w="0" w:type="dxa"/>
      <w:tblBorders>
        <w:right w:val="single" w:color="000000" w:themeColor="accent6" w:themeTint="98" w:sz="4" w:space="0"/>
      </w:tblBorders>
    </w:tblPr>
    <w:tcPr>
      <w:tcBorders/>
    </w:tcPr>
    <w:tblStylePr w:type="band1Horz">
      <w:rPr>
        <w:rFonts w:ascii="Arial" w:hAnsi="Arial"/>
        <w:color w:val="5f8f3c" w:themeColor="accent6" w:themeTint="98" w:themeShade="95"/>
        <w:sz w:val="22"/>
      </w:rPr>
      <w:pPr>
        <w:pBdr/>
        <w:spacing/>
        <w:ind/>
      </w:pPr>
      <w:tblPr>
        <w:tblBorders/>
      </w:tblPr>
      <w:tcPr>
        <w:shd w:val="clear" w:color="ffffff" w:themeColor="accent6" w:themeTint="40" w:fill="dbebd0" w:themeFill="accent6" w:themeFillTint="40"/>
        <w:tcBorders/>
      </w:tcPr>
    </w:tblStylePr>
    <w:tblStylePr w:type="band1Vert">
      <w:pPr>
        <w:pBdr/>
        <w:spacing/>
        <w:ind/>
      </w:pPr>
      <w:tblPr>
        <w:tblBorders/>
      </w:tblPr>
      <w:tcPr>
        <w:shd w:val="clear" w:color="ffffff" w:themeColor="accent6" w:themeTint="40" w:fill="dbebd0" w:themeFill="accent6" w:themeFillTint="40"/>
        <w:tcBorders/>
      </w:tcPr>
    </w:tblStylePr>
    <w:tblStylePr w:type="band2Horz">
      <w:rPr>
        <w:rFonts w:ascii="Arial" w:hAnsi="Arial"/>
        <w:color w:val="5f8f3c"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5f8f3c" w:themeColor="accent6" w:themeTint="98" w:themeShade="95"/>
        <w:sz w:val="22"/>
      </w:rPr>
      <w:pPr>
        <w:pBdr/>
        <w:spacing/>
        <w:ind/>
        <w:jc w:val="right"/>
      </w:pPr>
      <w:tblPr>
        <w:tblBorders/>
      </w:tblPr>
      <w:tcPr>
        <w:shd w:color="ffffff"/>
        <w:tcBorders>
          <w:top w:val="none"/>
          <w:left w:val="none"/>
          <w:bottom w:val="none"/>
          <w:right w:val="single" w:color="000000" w:themeColor="accent6" w:themeTint="98" w:sz="4" w:space="0"/>
        </w:tcBorders>
      </w:tcPr>
    </w:tblStylePr>
    <w:tblStylePr w:type="firstRow">
      <w:rPr>
        <w:rFonts w:ascii="Arial" w:hAnsi="Arial"/>
        <w:i/>
        <w:color w:val="5f8f3c" w:themeColor="accent6" w:themeTint="98" w:themeShade="95"/>
        <w:sz w:val="22"/>
      </w:rPr>
      <w:pPr>
        <w:pBdr/>
        <w:spacing/>
        <w:ind/>
      </w:pPr>
      <w:tblPr>
        <w:tblBorders/>
      </w:tblPr>
      <w:tcPr>
        <w:shd w:val="clear" w:color="ffffff" w:themeColor="light1" w:fill="ffffff" w:themeFill="light1"/>
        <w:tcBorders>
          <w:top w:val="none"/>
          <w:left w:val="none"/>
          <w:bottom w:val="single" w:color="000000" w:themeColor="accent6" w:themeTint="98" w:sz="4" w:space="0"/>
          <w:right w:val="none"/>
        </w:tcBorders>
      </w:tcPr>
    </w:tblStylePr>
    <w:tblStylePr w:type="lastCol">
      <w:rPr>
        <w:rFonts w:ascii="Arial" w:hAnsi="Arial"/>
        <w:i/>
        <w:color w:val="5f8f3c" w:themeColor="accent6" w:themeTint="98" w:themeShade="95"/>
        <w:sz w:val="22"/>
      </w:rPr>
      <w:pPr>
        <w:pBdr/>
        <w:spacing/>
        <w:ind/>
      </w:pPr>
      <w:tblPr>
        <w:tblBorders/>
      </w:tblPr>
      <w:tcPr>
        <w:shd w:color="ffffff"/>
        <w:tcBorders>
          <w:top w:val="none"/>
          <w:left w:val="single" w:color="000000" w:themeColor="accent6" w:themeTint="98" w:sz="4" w:space="0"/>
          <w:bottom w:val="none"/>
          <w:right w:val="none"/>
        </w:tcBorders>
      </w:tcPr>
    </w:tblStylePr>
    <w:tblStylePr w:type="lastRow">
      <w:rPr>
        <w:rFonts w:ascii="Arial" w:hAnsi="Arial"/>
        <w:i/>
        <w:color w:val="5f8f3c" w:themeColor="accent6" w:themeTint="98" w:themeShade="95"/>
        <w:sz w:val="22"/>
      </w:rPr>
      <w:pPr>
        <w:pBdr/>
        <w:spacing/>
        <w:ind/>
      </w:pPr>
      <w:tblPr>
        <w:tblBorders/>
      </w:tblPr>
      <w:tcPr>
        <w:shd w:val="clear" w:color="ffffff" w:themeColor="light1" w:fill="ffffff" w:themeFill="light1"/>
        <w:tcBorders>
          <w:top w:val="single" w:color="000000" w:themeColor="accent6" w:themeTint="98"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5f8f3c" w:themeColor="accent6" w:themeTint="98" w:themeShade="95"/>
        <w:sz w:val="22"/>
      </w:rPr>
      <w:pPr>
        <w:pBdr/>
        <w:spacing/>
        <w:ind/>
      </w:pPr>
      <w:tblPr>
        <w:tblBorders/>
      </w:tblPr>
      <w:tcPr>
        <w:tcBorders/>
      </w:tcPr>
    </w:tblStylePr>
  </w:style>
  <w:style w:type="table" w:styleId="153">
    <w:name w:val="Lined - Accent"/>
    <w:basedOn w:val="677"/>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4">
    <w:name w:val="Lined - Accent 1"/>
    <w:basedOn w:val="677"/>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3d3ec"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3d3ec"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537fc8"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537fc8"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537fc8"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537fc8"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5">
    <w:name w:val="Lined - Accent 2"/>
    <w:basedOn w:val="677"/>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f4b185"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f4b185"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f4b185"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f4b185"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6">
    <w:name w:val="Lined - Accent 3"/>
    <w:basedOn w:val="677"/>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a5a5a5"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a5a5a5"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a5a5a5"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a5a5a5"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7">
    <w:name w:val="Lined - Accent 4"/>
    <w:basedOn w:val="677"/>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ffd864"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ffd864"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ffd864"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ffd864"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8">
    <w:name w:val="Lined - Accent 5"/>
    <w:basedOn w:val="677"/>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debf6"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debf6" w:themeFill="accent5" w:themeFillTint="34"/>
        <w:tcBorders/>
      </w:tcPr>
    </w:tblStylePr>
    <w:tblStylePr w:type="firstCol">
      <w:rPr>
        <w:rFonts w:ascii="Arial" w:hAnsi="Arial"/>
        <w:color w:val="f2f2f2"/>
        <w:sz w:val="22"/>
      </w:rPr>
      <w:pPr>
        <w:pBdr/>
        <w:spacing/>
        <w:ind/>
      </w:pPr>
      <w:tblPr>
        <w:tblBorders/>
      </w:tblPr>
      <w:tcPr>
        <w:shd w:val="clear" w:color="ffffff" w:themeColor="accent5" w:fill="5b9bd5" w:themeFill="accent5"/>
        <w:tcBorders/>
      </w:tcPr>
    </w:tblStylePr>
    <w:tblStylePr w:type="firstRow">
      <w:rPr>
        <w:rFonts w:ascii="Arial" w:hAnsi="Arial"/>
        <w:color w:val="f2f2f2"/>
        <w:sz w:val="22"/>
      </w:rPr>
      <w:pPr>
        <w:pBdr/>
        <w:spacing/>
        <w:ind/>
      </w:pPr>
      <w:tblPr>
        <w:tblBorders/>
      </w:tblPr>
      <w:tcPr>
        <w:shd w:val="clear" w:color="ffffff" w:themeColor="accent5" w:fill="5b9bd5" w:themeFill="accent5"/>
        <w:tcBorders/>
      </w:tcPr>
    </w:tblStylePr>
    <w:tblStylePr w:type="lastCol">
      <w:rPr>
        <w:rFonts w:ascii="Arial" w:hAnsi="Arial"/>
        <w:color w:val="f2f2f2"/>
        <w:sz w:val="22"/>
      </w:rPr>
      <w:pPr>
        <w:pBdr/>
        <w:spacing/>
        <w:ind/>
      </w:pPr>
      <w:tblPr>
        <w:tblBorders/>
      </w:tblPr>
      <w:tcPr>
        <w:shd w:val="clear" w:color="ffffff" w:themeColor="accent5" w:fill="5b9bd5" w:themeFill="accent5"/>
        <w:tcBorders/>
      </w:tcPr>
    </w:tblStylePr>
    <w:tblStylePr w:type="lastRow">
      <w:rPr>
        <w:rFonts w:ascii="Arial" w:hAnsi="Arial"/>
        <w:color w:val="f2f2f2"/>
        <w:sz w:val="22"/>
      </w:rPr>
      <w:pPr>
        <w:pBdr/>
        <w:spacing/>
        <w:ind/>
      </w:pPr>
      <w:tblPr>
        <w:tblBorders/>
      </w:tblPr>
      <w:tcPr>
        <w:shd w:val="clear" w:color="ffffff" w:themeColor="accent5" w:fill="5b9bd5"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9">
    <w:name w:val="Lined - Accent 6"/>
    <w:basedOn w:val="677"/>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firstCol">
      <w:rPr>
        <w:rFonts w:ascii="Arial" w:hAnsi="Arial"/>
        <w:color w:val="f2f2f2"/>
        <w:sz w:val="22"/>
      </w:rPr>
      <w:pPr>
        <w:pBdr/>
        <w:spacing/>
        <w:ind/>
      </w:pPr>
      <w:tblPr>
        <w:tblBorders/>
      </w:tblPr>
      <w:tcPr>
        <w:shd w:val="clear" w:color="ffffff" w:themeColor="accent6" w:fill="70ad47" w:themeFill="accent6"/>
        <w:tcBorders/>
      </w:tcPr>
    </w:tblStylePr>
    <w:tblStylePr w:type="firstRow">
      <w:rPr>
        <w:rFonts w:ascii="Arial" w:hAnsi="Arial"/>
        <w:color w:val="f2f2f2"/>
        <w:sz w:val="22"/>
      </w:rPr>
      <w:pPr>
        <w:pBdr/>
        <w:spacing/>
        <w:ind/>
      </w:pPr>
      <w:tblPr>
        <w:tblBorders/>
      </w:tblPr>
      <w:tcPr>
        <w:shd w:val="clear" w:color="ffffff" w:themeColor="accent6" w:fill="70ad47" w:themeFill="accent6"/>
        <w:tcBorders/>
      </w:tcPr>
    </w:tblStylePr>
    <w:tblStylePr w:type="lastCol">
      <w:rPr>
        <w:rFonts w:ascii="Arial" w:hAnsi="Arial"/>
        <w:color w:val="f2f2f2"/>
        <w:sz w:val="22"/>
      </w:rPr>
      <w:pPr>
        <w:pBdr/>
        <w:spacing/>
        <w:ind/>
      </w:pPr>
      <w:tblPr>
        <w:tblBorders/>
      </w:tblPr>
      <w:tcPr>
        <w:shd w:val="clear" w:color="ffffff" w:themeColor="accent6" w:fill="70ad47" w:themeFill="accent6"/>
        <w:tcBorders/>
      </w:tcPr>
    </w:tblStylePr>
    <w:tblStylePr w:type="lastRow">
      <w:rPr>
        <w:rFonts w:ascii="Arial" w:hAnsi="Arial"/>
        <w:color w:val="f2f2f2"/>
        <w:sz w:val="22"/>
      </w:rPr>
      <w:pPr>
        <w:pBdr/>
        <w:spacing/>
        <w:ind/>
      </w:pPr>
      <w:tblPr>
        <w:tblBorders/>
      </w:tblPr>
      <w:tcPr>
        <w:shd w:val="clear" w:color="ffffff" w:themeColor="accent6" w:fill="70ad47"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0">
    <w:name w:val="Bordered &amp; Lined - Accent"/>
    <w:basedOn w:val="677"/>
    <w:uiPriority w:val="99"/>
    <w:pPr>
      <w:pBdr/>
      <w:spacing w:after="0" w:line="240" w:lineRule="auto"/>
      <w:ind/>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1">
    <w:name w:val="Bordered &amp; Lined - Accent 1"/>
    <w:basedOn w:val="677"/>
    <w:uiPriority w:val="99"/>
    <w:pPr>
      <w:pBdr/>
      <w:spacing w:after="0" w:line="240" w:lineRule="auto"/>
      <w:ind/>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3d3ec"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3d3ec"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537fc8"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537fc8"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537fc8"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537fc8"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2">
    <w:name w:val="Bordered &amp; Lined - Accent 2"/>
    <w:basedOn w:val="677"/>
    <w:uiPriority w:val="99"/>
    <w:pPr>
      <w:pBdr/>
      <w:spacing w:after="0" w:line="240" w:lineRule="auto"/>
      <w:ind/>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be5d6"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f4b185"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f4b185"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f4b185"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f4b185"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3">
    <w:name w:val="Bordered &amp; Lined - Accent 3"/>
    <w:basedOn w:val="677"/>
    <w:uiPriority w:val="99"/>
    <w:pPr>
      <w:pBdr/>
      <w:spacing w:after="0" w:line="240" w:lineRule="auto"/>
      <w:ind/>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dede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a5a5a5"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a5a5a5"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a5a5a5"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a5a5a5"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4">
    <w:name w:val="Bordered &amp; Lined - Accent 4"/>
    <w:basedOn w:val="677"/>
    <w:uiPriority w:val="99"/>
    <w:pPr>
      <w:pBdr/>
      <w:spacing w:after="0" w:line="240" w:lineRule="auto"/>
      <w:ind/>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fef2cb"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ffd864"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ffd864"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ffd864"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ffd864"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5">
    <w:name w:val="Bordered &amp; Lined - Accent 5"/>
    <w:basedOn w:val="677"/>
    <w:uiPriority w:val="99"/>
    <w:pPr>
      <w:pBdr/>
      <w:spacing w:after="0" w:line="240" w:lineRule="auto"/>
      <w:ind/>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debf6"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debf6" w:themeFill="accent5" w:themeFillTint="34"/>
        <w:tcBorders/>
      </w:tcPr>
    </w:tblStylePr>
    <w:tblStylePr w:type="firstCol">
      <w:rPr>
        <w:rFonts w:ascii="Arial" w:hAnsi="Arial"/>
        <w:color w:val="f2f2f2"/>
        <w:sz w:val="22"/>
      </w:rPr>
      <w:pPr>
        <w:pBdr/>
        <w:spacing/>
        <w:ind/>
      </w:pPr>
      <w:tblPr>
        <w:tblBorders/>
      </w:tblPr>
      <w:tcPr>
        <w:shd w:val="clear" w:color="ffffff" w:themeColor="accent5" w:fill="5b9bd5" w:themeFill="accent5"/>
        <w:tcBorders/>
      </w:tcPr>
    </w:tblStylePr>
    <w:tblStylePr w:type="firstRow">
      <w:rPr>
        <w:rFonts w:ascii="Arial" w:hAnsi="Arial"/>
        <w:color w:val="f2f2f2"/>
        <w:sz w:val="22"/>
      </w:rPr>
      <w:pPr>
        <w:pBdr/>
        <w:spacing/>
        <w:ind/>
      </w:pPr>
      <w:tblPr>
        <w:tblBorders/>
      </w:tblPr>
      <w:tcPr>
        <w:shd w:val="clear" w:color="ffffff" w:themeColor="accent5" w:fill="5b9bd5" w:themeFill="accent5"/>
        <w:tcBorders/>
      </w:tcPr>
    </w:tblStylePr>
    <w:tblStylePr w:type="lastCol">
      <w:rPr>
        <w:rFonts w:ascii="Arial" w:hAnsi="Arial"/>
        <w:color w:val="f2f2f2"/>
        <w:sz w:val="22"/>
      </w:rPr>
      <w:pPr>
        <w:pBdr/>
        <w:spacing/>
        <w:ind/>
      </w:pPr>
      <w:tblPr>
        <w:tblBorders/>
      </w:tblPr>
      <w:tcPr>
        <w:shd w:val="clear" w:color="ffffff" w:themeColor="accent5" w:fill="5b9bd5" w:themeFill="accent5"/>
        <w:tcBorders/>
      </w:tcPr>
    </w:tblStylePr>
    <w:tblStylePr w:type="lastRow">
      <w:rPr>
        <w:rFonts w:ascii="Arial" w:hAnsi="Arial"/>
        <w:color w:val="f2f2f2"/>
        <w:sz w:val="22"/>
      </w:rPr>
      <w:pPr>
        <w:pBdr/>
        <w:spacing/>
        <w:ind/>
      </w:pPr>
      <w:tblPr>
        <w:tblBorders/>
      </w:tblPr>
      <w:tcPr>
        <w:shd w:val="clear" w:color="ffffff" w:themeColor="accent5" w:fill="5b9bd5"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6">
    <w:name w:val="Bordered &amp; Lined - Accent 6"/>
    <w:basedOn w:val="677"/>
    <w:uiPriority w:val="99"/>
    <w:pPr>
      <w:pBdr/>
      <w:spacing w:after="0" w:line="240" w:lineRule="auto"/>
      <w:ind/>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e2efd8" w:themeFill="accent6" w:themeFillTint="34"/>
        <w:tcBorders/>
      </w:tcPr>
    </w:tblStylePr>
    <w:tblStylePr w:type="firstCol">
      <w:rPr>
        <w:rFonts w:ascii="Arial" w:hAnsi="Arial"/>
        <w:color w:val="f2f2f2"/>
        <w:sz w:val="22"/>
      </w:rPr>
      <w:pPr>
        <w:pBdr/>
        <w:spacing/>
        <w:ind/>
      </w:pPr>
      <w:tblPr>
        <w:tblBorders/>
      </w:tblPr>
      <w:tcPr>
        <w:shd w:val="clear" w:color="ffffff" w:themeColor="accent6" w:fill="70ad47" w:themeFill="accent6"/>
        <w:tcBorders/>
      </w:tcPr>
    </w:tblStylePr>
    <w:tblStylePr w:type="firstRow">
      <w:rPr>
        <w:rFonts w:ascii="Arial" w:hAnsi="Arial"/>
        <w:color w:val="f2f2f2"/>
        <w:sz w:val="22"/>
      </w:rPr>
      <w:pPr>
        <w:pBdr/>
        <w:spacing/>
        <w:ind/>
      </w:pPr>
      <w:tblPr>
        <w:tblBorders/>
      </w:tblPr>
      <w:tcPr>
        <w:shd w:val="clear" w:color="ffffff" w:themeColor="accent6" w:fill="70ad47" w:themeFill="accent6"/>
        <w:tcBorders/>
      </w:tcPr>
    </w:tblStylePr>
    <w:tblStylePr w:type="lastCol">
      <w:rPr>
        <w:rFonts w:ascii="Arial" w:hAnsi="Arial"/>
        <w:color w:val="f2f2f2"/>
        <w:sz w:val="22"/>
      </w:rPr>
      <w:pPr>
        <w:pBdr/>
        <w:spacing/>
        <w:ind/>
      </w:pPr>
      <w:tblPr>
        <w:tblBorders/>
      </w:tblPr>
      <w:tcPr>
        <w:shd w:val="clear" w:color="ffffff" w:themeColor="accent6" w:fill="70ad47" w:themeFill="accent6"/>
        <w:tcBorders/>
      </w:tcPr>
    </w:tblStylePr>
    <w:tblStylePr w:type="lastRow">
      <w:rPr>
        <w:rFonts w:ascii="Arial" w:hAnsi="Arial"/>
        <w:color w:val="f2f2f2"/>
        <w:sz w:val="22"/>
      </w:rPr>
      <w:pPr>
        <w:pBdr/>
        <w:spacing/>
        <w:ind/>
      </w:pPr>
      <w:tblPr>
        <w:tblBorders/>
      </w:tblPr>
      <w:tcPr>
        <w:shd w:val="clear" w:color="ffffff" w:themeColor="accent6" w:fill="70ad47"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7">
    <w:name w:val="Bordered"/>
    <w:basedOn w:val="677"/>
    <w:uiPriority w:val="99"/>
    <w:pPr>
      <w:pBdr/>
      <w:spacing w:after="0" w:line="240" w:lineRule="auto"/>
      <w:ind/>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text1" w:themeTint="80" w:sz="12" w:space="0"/>
        </w:tcBorders>
      </w:tcPr>
    </w:tblStylePr>
    <w:tblStylePr w:type="lastCol">
      <w:rPr>
        <w:rFonts w:ascii="Arial" w:hAnsi="Arial"/>
        <w:color w:val="404040"/>
        <w:sz w:val="22"/>
      </w:rPr>
      <w:pPr>
        <w:pBdr/>
        <w:spacing/>
        <w:ind/>
      </w:pPr>
      <w:tblPr>
        <w:tblBorders/>
      </w:tblPr>
      <w:tcPr>
        <w:tcBorders>
          <w:left w:val="single" w:color="000000" w:themeColor="text1" w:themeTint="80" w:sz="12" w:space="0"/>
        </w:tcBorders>
      </w:tcPr>
    </w:tblStylePr>
    <w:tblStylePr w:type="lastRow">
      <w:rPr>
        <w:rFonts w:ascii="Arial" w:hAnsi="Arial"/>
        <w:color w:val="404040"/>
        <w:sz w:val="22"/>
      </w:rPr>
      <w:pPr>
        <w:pBdr/>
        <w:spacing/>
        <w:ind/>
      </w:pPr>
      <w:tblPr>
        <w:tblBorders/>
      </w:tblPr>
      <w:tcPr>
        <w:tcBorders>
          <w:top w:val="single" w:color="000000" w:themeColor="text1" w:themeTint="80"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8">
    <w:name w:val="Bordered - Accent 1"/>
    <w:basedOn w:val="677"/>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1" w:sz="12" w:space="0"/>
        </w:tcBorders>
      </w:tcPr>
    </w:tblStylePr>
    <w:tblStylePr w:type="lastCol">
      <w:rPr>
        <w:rFonts w:ascii="Arial" w:hAnsi="Arial"/>
        <w:color w:val="404040"/>
        <w:sz w:val="22"/>
      </w:rPr>
      <w:pPr>
        <w:pBdr/>
        <w:spacing/>
        <w:ind/>
      </w:pPr>
      <w:tblPr>
        <w:tblBorders/>
      </w:tblPr>
      <w:tcPr>
        <w:tcBorders>
          <w:left w:val="single" w:color="000000" w:themeColor="accent1" w:sz="12" w:space="0"/>
        </w:tcBorders>
      </w:tcPr>
    </w:tblStylePr>
    <w:tblStylePr w:type="lastRow">
      <w:rPr>
        <w:rFonts w:ascii="Arial" w:hAnsi="Arial"/>
        <w:color w:val="404040"/>
        <w:sz w:val="22"/>
      </w:rPr>
      <w:pPr>
        <w:pBdr/>
        <w:spacing/>
        <w:ind/>
      </w:pPr>
      <w:tblPr>
        <w:tblBorders/>
      </w:tblPr>
      <w:tcPr>
        <w:tcBorders>
          <w:top w:val="single" w:color="000000" w:themeColor="accent1"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9">
    <w:name w:val="Bordered - Accent 2"/>
    <w:basedOn w:val="677"/>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2" w:themeTint="97" w:sz="12" w:space="0"/>
        </w:tcBorders>
      </w:tcPr>
    </w:tblStylePr>
    <w:tblStylePr w:type="lastCol">
      <w:rPr>
        <w:rFonts w:ascii="Arial" w:hAnsi="Arial"/>
        <w:color w:val="404040"/>
        <w:sz w:val="22"/>
      </w:rPr>
      <w:pPr>
        <w:pBdr/>
        <w:spacing/>
        <w:ind/>
      </w:pPr>
      <w:tblPr>
        <w:tblBorders/>
      </w:tblPr>
      <w:tcPr>
        <w:tcBorders>
          <w:left w:val="single" w:color="000000" w:themeColor="accent2" w:themeTint="97" w:sz="12" w:space="0"/>
        </w:tcBorders>
      </w:tcPr>
    </w:tblStylePr>
    <w:tblStylePr w:type="lastRow">
      <w:rPr>
        <w:rFonts w:ascii="Arial" w:hAnsi="Arial"/>
        <w:color w:val="404040"/>
        <w:sz w:val="22"/>
      </w:rPr>
      <w:pPr>
        <w:pBdr/>
        <w:spacing/>
        <w:ind/>
      </w:pPr>
      <w:tblPr>
        <w:tblBorders/>
      </w:tblPr>
      <w:tcPr>
        <w:tcBorders>
          <w:top w:val="single" w:color="000000" w:themeColor="accent2" w:themeTint="97"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0">
    <w:name w:val="Bordered - Accent 3"/>
    <w:basedOn w:val="677"/>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3" w:themeTint="98" w:sz="12" w:space="0"/>
        </w:tcBorders>
      </w:tcPr>
    </w:tblStylePr>
    <w:tblStylePr w:type="lastCol">
      <w:rPr>
        <w:rFonts w:ascii="Arial" w:hAnsi="Arial"/>
        <w:color w:val="404040"/>
        <w:sz w:val="22"/>
      </w:rPr>
      <w:pPr>
        <w:pBdr/>
        <w:spacing/>
        <w:ind/>
      </w:pPr>
      <w:tblPr>
        <w:tblBorders/>
      </w:tblPr>
      <w:tcPr>
        <w:tcBorders>
          <w:left w:val="single" w:color="000000" w:themeColor="accent3" w:themeTint="98" w:sz="12" w:space="0"/>
        </w:tcBorders>
      </w:tcPr>
    </w:tblStylePr>
    <w:tblStylePr w:type="lastRow">
      <w:rPr>
        <w:rFonts w:ascii="Arial" w:hAnsi="Arial"/>
        <w:color w:val="404040"/>
        <w:sz w:val="22"/>
      </w:rPr>
      <w:pPr>
        <w:pBdr/>
        <w:spacing/>
        <w:ind/>
      </w:pPr>
      <w:tblPr>
        <w:tblBorders/>
      </w:tblPr>
      <w:tcPr>
        <w:tcBorders>
          <w:top w:val="single" w:color="000000" w:themeColor="accent3"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1">
    <w:name w:val="Bordered - Accent 4"/>
    <w:basedOn w:val="677"/>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4" w:themeTint="9A" w:sz="12" w:space="0"/>
        </w:tcBorders>
      </w:tcPr>
    </w:tblStylePr>
    <w:tblStylePr w:type="lastCol">
      <w:rPr>
        <w:rFonts w:ascii="Arial" w:hAnsi="Arial"/>
        <w:color w:val="404040"/>
        <w:sz w:val="22"/>
      </w:rPr>
      <w:pPr>
        <w:pBdr/>
        <w:spacing/>
        <w:ind/>
      </w:pPr>
      <w:tblPr>
        <w:tblBorders/>
      </w:tblPr>
      <w:tcPr>
        <w:tcBorders>
          <w:left w:val="single" w:color="000000" w:themeColor="accent4" w:themeTint="9A" w:sz="12" w:space="0"/>
        </w:tcBorders>
      </w:tcPr>
    </w:tblStylePr>
    <w:tblStylePr w:type="lastRow">
      <w:rPr>
        <w:rFonts w:ascii="Arial" w:hAnsi="Arial"/>
        <w:color w:val="404040"/>
        <w:sz w:val="22"/>
      </w:rPr>
      <w:pPr>
        <w:pBdr/>
        <w:spacing/>
        <w:ind/>
      </w:pPr>
      <w:tblPr>
        <w:tblBorders/>
      </w:tblPr>
      <w:tcPr>
        <w:tcBorders>
          <w:top w:val="single" w:color="000000" w:themeColor="accent4"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2">
    <w:name w:val="Bordered - Accent 5"/>
    <w:basedOn w:val="677"/>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5" w:themeTint="9A" w:sz="12" w:space="0"/>
        </w:tcBorders>
      </w:tcPr>
    </w:tblStylePr>
    <w:tblStylePr w:type="lastCol">
      <w:rPr>
        <w:rFonts w:ascii="Arial" w:hAnsi="Arial"/>
        <w:color w:val="404040"/>
        <w:sz w:val="22"/>
      </w:rPr>
      <w:pPr>
        <w:pBdr/>
        <w:spacing/>
        <w:ind/>
      </w:pPr>
      <w:tblPr>
        <w:tblBorders/>
      </w:tblPr>
      <w:tcPr>
        <w:tcBorders>
          <w:left w:val="single" w:color="000000" w:themeColor="accent5" w:themeTint="9A" w:sz="12" w:space="0"/>
        </w:tcBorders>
      </w:tcPr>
    </w:tblStylePr>
    <w:tblStylePr w:type="lastRow">
      <w:rPr>
        <w:rFonts w:ascii="Arial" w:hAnsi="Arial"/>
        <w:color w:val="404040"/>
        <w:sz w:val="22"/>
      </w:rPr>
      <w:pPr>
        <w:pBdr/>
        <w:spacing/>
        <w:ind/>
      </w:pPr>
      <w:tblPr>
        <w:tblBorders/>
      </w:tblPr>
      <w:tcPr>
        <w:tcBorders>
          <w:top w:val="single" w:color="000000" w:themeColor="accent5"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3">
    <w:name w:val="Bordered - Accent 6"/>
    <w:basedOn w:val="677"/>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6" w:themeTint="98" w:sz="12" w:space="0"/>
        </w:tcBorders>
      </w:tcPr>
    </w:tblStylePr>
    <w:tblStylePr w:type="lastCol">
      <w:rPr>
        <w:rFonts w:ascii="Arial" w:hAnsi="Arial"/>
        <w:color w:val="404040"/>
        <w:sz w:val="22"/>
      </w:rPr>
      <w:pPr>
        <w:pBdr/>
        <w:spacing/>
        <w:ind/>
      </w:pPr>
      <w:tblPr>
        <w:tblBorders/>
      </w:tblPr>
      <w:tcPr>
        <w:tcBorders>
          <w:left w:val="single" w:color="000000" w:themeColor="accent6" w:themeTint="98" w:sz="12" w:space="0"/>
        </w:tcBorders>
      </w:tcPr>
    </w:tblStylePr>
    <w:tblStylePr w:type="lastRow">
      <w:rPr>
        <w:rFonts w:ascii="Arial" w:hAnsi="Arial"/>
        <w:color w:val="404040"/>
        <w:sz w:val="22"/>
      </w:rPr>
      <w:pPr>
        <w:pBdr/>
        <w:spacing/>
        <w:ind/>
      </w:pPr>
      <w:tblPr>
        <w:tblBorders/>
      </w:tblPr>
      <w:tcPr>
        <w:tcBorders>
          <w:top w:val="single" w:color="000000" w:themeColor="accent6"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character" w:styleId="174">
    <w:name w:val="Hyperlink"/>
    <w:uiPriority w:val="99"/>
    <w:unhideWhenUsed/>
    <w:pPr>
      <w:pBdr/>
      <w:spacing/>
      <w:ind/>
    </w:pPr>
    <w:rPr>
      <w:color w:val="0000ff" w:themeColor="hyperlink"/>
      <w:u w:val="single"/>
    </w:rPr>
  </w:style>
  <w:style w:type="paragraph" w:styleId="175">
    <w:name w:val="footnote text"/>
    <w:basedOn w:val="675"/>
    <w:link w:val="176"/>
    <w:uiPriority w:val="99"/>
    <w:semiHidden/>
    <w:unhideWhenUsed/>
    <w:pPr>
      <w:pBdr/>
      <w:spacing w:after="40" w:line="240" w:lineRule="auto"/>
      <w:ind/>
    </w:pPr>
    <w:rPr>
      <w:sz w:val="18"/>
    </w:rPr>
  </w:style>
  <w:style w:type="character" w:styleId="176">
    <w:name w:val="Footnote Text Char"/>
    <w:link w:val="175"/>
    <w:uiPriority w:val="99"/>
    <w:pPr>
      <w:pBdr/>
      <w:spacing/>
      <w:ind/>
    </w:pPr>
    <w:rPr>
      <w:sz w:val="18"/>
    </w:rPr>
  </w:style>
  <w:style w:type="character" w:styleId="177">
    <w:name w:val="footnote reference"/>
    <w:basedOn w:val="676"/>
    <w:uiPriority w:val="99"/>
    <w:unhideWhenUsed/>
    <w:pPr>
      <w:pBdr/>
      <w:spacing/>
      <w:ind/>
    </w:pPr>
    <w:rPr>
      <w:vertAlign w:val="superscript"/>
    </w:rPr>
  </w:style>
  <w:style w:type="paragraph" w:styleId="178">
    <w:name w:val="endnote text"/>
    <w:basedOn w:val="675"/>
    <w:link w:val="179"/>
    <w:uiPriority w:val="99"/>
    <w:semiHidden/>
    <w:unhideWhenUsed/>
    <w:pPr>
      <w:pBdr/>
      <w:spacing w:after="0" w:line="240" w:lineRule="auto"/>
      <w:ind/>
    </w:pPr>
    <w:rPr>
      <w:sz w:val="20"/>
    </w:rPr>
  </w:style>
  <w:style w:type="character" w:styleId="179">
    <w:name w:val="Endnote Text Char"/>
    <w:link w:val="178"/>
    <w:uiPriority w:val="99"/>
    <w:pPr>
      <w:pBdr/>
      <w:spacing/>
      <w:ind/>
    </w:pPr>
    <w:rPr>
      <w:sz w:val="20"/>
    </w:rPr>
  </w:style>
  <w:style w:type="character" w:styleId="180">
    <w:name w:val="endnote reference"/>
    <w:basedOn w:val="676"/>
    <w:uiPriority w:val="99"/>
    <w:semiHidden/>
    <w:unhideWhenUsed/>
    <w:pPr>
      <w:pBdr/>
      <w:spacing/>
      <w:ind/>
    </w:pPr>
    <w:rPr>
      <w:vertAlign w:val="superscript"/>
    </w:rPr>
  </w:style>
  <w:style w:type="paragraph" w:styleId="181">
    <w:name w:val="toc 1"/>
    <w:basedOn w:val="675"/>
    <w:next w:val="675"/>
    <w:uiPriority w:val="39"/>
    <w:unhideWhenUsed/>
    <w:pPr>
      <w:pBdr/>
      <w:spacing w:after="57"/>
      <w:ind w:right="0" w:firstLine="0" w:left="0"/>
    </w:pPr>
  </w:style>
  <w:style w:type="paragraph" w:styleId="182">
    <w:name w:val="toc 2"/>
    <w:basedOn w:val="675"/>
    <w:next w:val="675"/>
    <w:uiPriority w:val="39"/>
    <w:unhideWhenUsed/>
    <w:pPr>
      <w:pBdr/>
      <w:spacing w:after="57"/>
      <w:ind w:right="0" w:firstLine="0" w:left="283"/>
    </w:pPr>
  </w:style>
  <w:style w:type="paragraph" w:styleId="183">
    <w:name w:val="toc 3"/>
    <w:basedOn w:val="675"/>
    <w:next w:val="675"/>
    <w:uiPriority w:val="39"/>
    <w:unhideWhenUsed/>
    <w:pPr>
      <w:pBdr/>
      <w:spacing w:after="57"/>
      <w:ind w:right="0" w:firstLine="0" w:left="567"/>
    </w:pPr>
  </w:style>
  <w:style w:type="paragraph" w:styleId="184">
    <w:name w:val="toc 4"/>
    <w:basedOn w:val="675"/>
    <w:next w:val="675"/>
    <w:uiPriority w:val="39"/>
    <w:unhideWhenUsed/>
    <w:pPr>
      <w:pBdr/>
      <w:spacing w:after="57"/>
      <w:ind w:right="0" w:firstLine="0" w:left="850"/>
    </w:pPr>
  </w:style>
  <w:style w:type="paragraph" w:styleId="185">
    <w:name w:val="toc 5"/>
    <w:basedOn w:val="675"/>
    <w:next w:val="675"/>
    <w:uiPriority w:val="39"/>
    <w:unhideWhenUsed/>
    <w:pPr>
      <w:pBdr/>
      <w:spacing w:after="57"/>
      <w:ind w:right="0" w:firstLine="0" w:left="1134"/>
    </w:pPr>
  </w:style>
  <w:style w:type="paragraph" w:styleId="186">
    <w:name w:val="toc 6"/>
    <w:basedOn w:val="675"/>
    <w:next w:val="675"/>
    <w:uiPriority w:val="39"/>
    <w:unhideWhenUsed/>
    <w:pPr>
      <w:pBdr/>
      <w:spacing w:after="57"/>
      <w:ind w:right="0" w:firstLine="0" w:left="1417"/>
    </w:pPr>
  </w:style>
  <w:style w:type="paragraph" w:styleId="187">
    <w:name w:val="toc 7"/>
    <w:basedOn w:val="675"/>
    <w:next w:val="675"/>
    <w:uiPriority w:val="39"/>
    <w:unhideWhenUsed/>
    <w:pPr>
      <w:pBdr/>
      <w:spacing w:after="57"/>
      <w:ind w:right="0" w:firstLine="0" w:left="1701"/>
    </w:pPr>
  </w:style>
  <w:style w:type="paragraph" w:styleId="188">
    <w:name w:val="toc 8"/>
    <w:basedOn w:val="675"/>
    <w:next w:val="675"/>
    <w:uiPriority w:val="39"/>
    <w:unhideWhenUsed/>
    <w:pPr>
      <w:pBdr/>
      <w:spacing w:after="57"/>
      <w:ind w:right="0" w:firstLine="0" w:left="1984"/>
    </w:pPr>
  </w:style>
  <w:style w:type="paragraph" w:styleId="189">
    <w:name w:val="toc 9"/>
    <w:basedOn w:val="675"/>
    <w:next w:val="675"/>
    <w:uiPriority w:val="39"/>
    <w:unhideWhenUsed/>
    <w:pPr>
      <w:pBdr/>
      <w:spacing w:after="57"/>
      <w:ind w:right="0" w:firstLine="0" w:left="2268"/>
    </w:pPr>
  </w:style>
  <w:style w:type="paragraph" w:styleId="190">
    <w:name w:val="TOC Heading"/>
    <w:uiPriority w:val="39"/>
    <w:unhideWhenUsed/>
    <w:pPr>
      <w:pBdr/>
      <w:spacing/>
      <w:ind/>
    </w:pPr>
  </w:style>
  <w:style w:type="paragraph" w:styleId="191">
    <w:name w:val="table of figures"/>
    <w:basedOn w:val="675"/>
    <w:next w:val="675"/>
    <w:uiPriority w:val="99"/>
    <w:unhideWhenUsed/>
    <w:pPr>
      <w:pBdr/>
      <w:spacing w:after="0" w:afterAutospacing="0"/>
      <w:ind/>
    </w:pPr>
  </w:style>
  <w:style w:type="paragraph" w:styleId="675" w:default="1">
    <w:name w:val="Normal"/>
    <w:uiPriority w:val="0"/>
    <w:qFormat/>
    <w:pPr>
      <w:widowControl w:val="false"/>
      <w:pBdr/>
      <w:spacing/>
      <w:ind/>
      <w:jc w:val="both"/>
    </w:pPr>
    <w:rPr>
      <w:rFonts w:ascii="Times New Roman" w:hAnsi="Times New Roman" w:eastAsia="仿宋_GB2312" w:cs="Times New Roman"/>
      <w:sz w:val="32"/>
      <w:szCs w:val="24"/>
      <w:lang w:val="en-US" w:eastAsia="zh-CN" w:bidi="ar-SA"/>
    </w:rPr>
  </w:style>
  <w:style w:type="character" w:styleId="676" w:default="1">
    <w:name w:val="Default Paragraph Font"/>
    <w:uiPriority w:val="1"/>
    <w:unhideWhenUsed/>
    <w:qFormat/>
    <w:pPr>
      <w:pBdr/>
      <w:spacing/>
      <w:ind/>
    </w:pPr>
  </w:style>
  <w:style w:type="table" w:styleId="677" w:default="1">
    <w:name w:val="Normal Table"/>
    <w:uiPriority w:val="99"/>
    <w:semiHidden/>
    <w:unhideWhenUsed/>
    <w:qFormat/>
    <w:pPr>
      <w:pBdr/>
      <w:spacing/>
      <w:ind/>
    </w:pPr>
    <w:tblPr>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paragraph" w:styleId="678">
    <w:name w:val="Date"/>
    <w:basedOn w:val="675"/>
    <w:next w:val="675"/>
    <w:link w:val="685"/>
    <w:uiPriority w:val="99"/>
    <w:semiHidden/>
    <w:unhideWhenUsed/>
    <w:qFormat/>
    <w:pPr>
      <w:pBdr/>
      <w:spacing/>
      <w:ind w:left="100"/>
    </w:pPr>
  </w:style>
  <w:style w:type="paragraph" w:styleId="679">
    <w:name w:val="Balloon Text"/>
    <w:basedOn w:val="675"/>
    <w:link w:val="687"/>
    <w:uiPriority w:val="99"/>
    <w:semiHidden/>
    <w:unhideWhenUsed/>
    <w:qFormat/>
    <w:pPr>
      <w:pBdr/>
      <w:spacing/>
      <w:ind/>
    </w:pPr>
    <w:rPr>
      <w:sz w:val="18"/>
      <w:szCs w:val="18"/>
    </w:rPr>
  </w:style>
  <w:style w:type="paragraph" w:styleId="680">
    <w:name w:val="Footer"/>
    <w:basedOn w:val="675"/>
    <w:link w:val="684"/>
    <w:uiPriority w:val="99"/>
    <w:unhideWhenUsed/>
    <w:qFormat/>
    <w:pPr>
      <w:pBdr/>
      <w:tabs>
        <w:tab w:val="center" w:leader="none" w:pos="4153"/>
        <w:tab w:val="right" w:leader="none" w:pos="8306"/>
      </w:tabs>
      <w:spacing/>
      <w:ind/>
      <w:jc w:val="left"/>
    </w:pPr>
    <w:rPr>
      <w:rFonts w:asciiTheme="minorHAnsi" w:hAnsiTheme="minorHAnsi" w:eastAsiaTheme="minorEastAsia" w:cstheme="minorBidi"/>
      <w:sz w:val="18"/>
      <w:szCs w:val="18"/>
    </w:rPr>
  </w:style>
  <w:style w:type="paragraph" w:styleId="681">
    <w:name w:val="Header"/>
    <w:basedOn w:val="675"/>
    <w:link w:val="683"/>
    <w:uiPriority w:val="99"/>
    <w:unhideWhenUsed/>
    <w:qFormat/>
    <w:pPr>
      <w:pBdr>
        <w:bottom w:val="single" w:color="000000" w:sz="6" w:space="1"/>
      </w:pBdr>
      <w:tabs>
        <w:tab w:val="center" w:leader="none" w:pos="4153"/>
        <w:tab w:val="right" w:leader="none" w:pos="8306"/>
      </w:tabs>
      <w:spacing/>
      <w:ind/>
      <w:jc w:val="center"/>
    </w:pPr>
    <w:rPr>
      <w:rFonts w:asciiTheme="minorHAnsi" w:hAnsiTheme="minorHAnsi" w:eastAsiaTheme="minorEastAsia" w:cstheme="minorBidi"/>
      <w:sz w:val="18"/>
      <w:szCs w:val="18"/>
    </w:rPr>
  </w:style>
  <w:style w:type="paragraph" w:styleId="682">
    <w:name w:val="Normal (Web)"/>
    <w:basedOn w:val="675"/>
    <w:uiPriority w:val="0"/>
    <w:qFormat/>
    <w:pPr>
      <w:pBdr/>
      <w:spacing w:after="0" w:afterAutospacing="1" w:before="0" w:beforeAutospacing="1"/>
      <w:ind w:right="0" w:left="0"/>
      <w:jc w:val="left"/>
    </w:pPr>
    <w:rPr>
      <w:sz w:val="24"/>
      <w:lang w:val="en-US" w:eastAsia="zh-CN" w:bidi="ar"/>
    </w:rPr>
  </w:style>
  <w:style w:type="character" w:styleId="683" w:customStyle="1">
    <w:name w:val="页眉 Char"/>
    <w:basedOn w:val="676"/>
    <w:link w:val="681"/>
    <w:uiPriority w:val="99"/>
    <w:qFormat/>
    <w:pPr>
      <w:pBdr/>
      <w:spacing/>
      <w:ind/>
    </w:pPr>
    <w:rPr>
      <w:sz w:val="18"/>
      <w:szCs w:val="18"/>
    </w:rPr>
  </w:style>
  <w:style w:type="character" w:styleId="684" w:customStyle="1">
    <w:name w:val="页脚 Char"/>
    <w:basedOn w:val="676"/>
    <w:link w:val="680"/>
    <w:uiPriority w:val="99"/>
    <w:qFormat/>
    <w:pPr>
      <w:pBdr/>
      <w:spacing/>
      <w:ind/>
    </w:pPr>
    <w:rPr>
      <w:sz w:val="18"/>
      <w:szCs w:val="18"/>
    </w:rPr>
  </w:style>
  <w:style w:type="character" w:styleId="685" w:customStyle="1">
    <w:name w:val="日期 Char"/>
    <w:basedOn w:val="676"/>
    <w:link w:val="678"/>
    <w:uiPriority w:val="99"/>
    <w:semiHidden/>
    <w:qFormat/>
    <w:pPr>
      <w:pBdr/>
      <w:spacing/>
      <w:ind/>
    </w:pPr>
    <w:rPr>
      <w:rFonts w:ascii="Times New Roman" w:hAnsi="Times New Roman" w:eastAsia="仿宋_GB2312" w:cs="Times New Roman"/>
      <w:sz w:val="32"/>
      <w:szCs w:val="24"/>
    </w:rPr>
  </w:style>
  <w:style w:type="paragraph" w:styleId="686" w:customStyle="1">
    <w:name w:val="正文缩进 + 首行缩进:  2 字符"/>
    <w:basedOn w:val="675"/>
    <w:uiPriority w:val="0"/>
    <w:qFormat/>
    <w:pPr>
      <w:pBdr/>
      <w:spacing/>
      <w:ind w:firstLine="640"/>
    </w:pPr>
    <w:rPr>
      <w:rFonts w:cs="宋体"/>
      <w:szCs w:val="20"/>
    </w:rPr>
  </w:style>
  <w:style w:type="character" w:styleId="687" w:customStyle="1">
    <w:name w:val="批注框文本 Char"/>
    <w:basedOn w:val="676"/>
    <w:link w:val="679"/>
    <w:uiPriority w:val="99"/>
    <w:semiHidden/>
    <w:qFormat/>
    <w:pPr>
      <w:pBdr/>
      <w:spacing/>
      <w:ind/>
    </w:pPr>
    <w:rPr>
      <w:rFonts w:ascii="Times New Roman" w:hAnsi="Times New Roman" w:eastAsia="仿宋_GB2312" w:cs="Times New Roman"/>
      <w:sz w:val="18"/>
      <w:szCs w:val="18"/>
    </w:rPr>
  </w:style>
  <w:style w:type="paragraph" w:styleId="688">
    <w:name w:val="List Paragraph"/>
    <w:basedOn w:val="675"/>
    <w:uiPriority w:val="34"/>
    <w:qFormat/>
    <w:pPr>
      <w:pBdr/>
      <w:spacing/>
      <w:ind w:firstLine="420"/>
    </w:pPr>
  </w:style>
  <w:style w:type="numbering" w:styleId="1496" w:default="1">
    <w:name w:val="No List"/>
    <w:uiPriority w:val="99"/>
    <w:semiHidden/>
    <w:unhideWhenUsed/>
    <w:pPr>
      <w:pBdr/>
      <w:spacing/>
      <w:ind/>
    </w:p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footnotes" Target="footnotes.xml" /><Relationship Id="rId7" Type="http://schemas.openxmlformats.org/officeDocument/2006/relationships/endnotes" Target="endnotes.xml" /><Relationship Id="rId8" Type="http://schemas.openxmlformats.org/officeDocument/2006/relationships/header" Target="header1.xml" /><Relationship Id="rId9" Type="http://schemas.openxmlformats.org/officeDocument/2006/relationships/footer" Target="footer1.xml" /><Relationship Id="rId10" Type="http://schemas.openxmlformats.org/officeDocument/2006/relationships/customXml" Target="../customXml/item1.xml" /></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等线 Light"/>
        <a:cs typeface="Arial"/>
      </a:majorFont>
      <a:minorFont>
        <a:latin typeface="等线"/>
        <a:ea typeface="等线"/>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Application>ONLYOFFICE/7.5.1.23</Application>
  <DocSecurity>0</DocSecurity>
  <LinksUpToDate>false</LinksUpToDate>
  <ScaleCrop>false</ScaleCrop>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l13774129191@outlook.com</dc:creator>
  <cp:lastModifiedBy>匿名</cp:lastModifiedBy>
  <cp:revision>163</cp:revision>
  <dcterms:created xsi:type="dcterms:W3CDTF">2021-03-31T09:58:00Z</dcterms:created>
  <dcterms:modified xsi:type="dcterms:W3CDTF">2025-03-21T01:55:26Z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E8D3268A7E8E427890A36058B5C18B2A</vt:lpwstr>
  </property>
</Properties>
</file>