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20" w:lineRule="exact"/>
        <w:ind w:right="0"/>
        <w:jc w:val="center"/>
        <w:textAlignment w:val="baseline"/>
        <w:rPr>
          <w:rFonts w:hint="default" w:ascii="Times New Roman" w:hAnsi="Times New Roman" w:eastAsia="方正大标宋简体" w:cs="Times New Roman"/>
          <w:b w:val="0"/>
          <w:bCs w:val="0"/>
          <w:color w:val="auto"/>
          <w:spacing w:val="0"/>
          <w:position w:val="0"/>
          <w:sz w:val="40"/>
          <w:szCs w:val="40"/>
        </w:rPr>
      </w:pPr>
      <w:r>
        <w:rPr>
          <w:rFonts w:hint="default" w:ascii="Times New Roman" w:hAnsi="Times New Roman" w:eastAsia="方正大标宋简体" w:cs="Times New Roman"/>
          <w:b w:val="0"/>
          <w:bCs w:val="0"/>
          <w:color w:val="auto"/>
          <w:spacing w:val="0"/>
          <w:position w:val="0"/>
          <w:sz w:val="40"/>
          <w:szCs w:val="40"/>
          <w:lang w:val="en-US" w:eastAsia="zh-CN"/>
        </w:rPr>
        <w:t>市财政局</w:t>
      </w:r>
      <w:r>
        <w:rPr>
          <w:rFonts w:hint="default" w:ascii="Times New Roman" w:hAnsi="Times New Roman" w:eastAsia="方正大标宋简体" w:cs="Times New Roman"/>
          <w:b w:val="0"/>
          <w:bCs w:val="0"/>
          <w:color w:val="auto"/>
          <w:spacing w:val="0"/>
          <w:position w:val="0"/>
          <w:sz w:val="40"/>
          <w:szCs w:val="40"/>
        </w:rPr>
        <w:t>关于下达2024年中央财政衔接</w:t>
      </w:r>
    </w:p>
    <w:p>
      <w:pPr>
        <w:keepNext w:val="0"/>
        <w:keepLines w:val="0"/>
        <w:pageBreakBefore w:val="0"/>
        <w:widowControl w:val="0"/>
        <w:kinsoku/>
        <w:wordWrap/>
        <w:overflowPunct/>
        <w:topLinePunct w:val="0"/>
        <w:autoSpaceDE/>
        <w:autoSpaceDN/>
        <w:bidi w:val="0"/>
        <w:adjustRightInd/>
        <w:snapToGrid/>
        <w:spacing w:line="620" w:lineRule="exact"/>
        <w:ind w:right="0"/>
        <w:jc w:val="center"/>
        <w:textAlignment w:val="baseline"/>
        <w:rPr>
          <w:rFonts w:hint="default" w:ascii="Times New Roman" w:hAnsi="Times New Roman" w:eastAsia="方正大标宋简体" w:cs="Times New Roman"/>
          <w:b w:val="0"/>
          <w:bCs w:val="0"/>
          <w:color w:val="auto"/>
          <w:spacing w:val="0"/>
          <w:position w:val="0"/>
          <w:sz w:val="40"/>
          <w:szCs w:val="40"/>
        </w:rPr>
      </w:pPr>
      <w:r>
        <w:rPr>
          <w:rFonts w:hint="default" w:ascii="Times New Roman" w:hAnsi="Times New Roman" w:eastAsia="方正大标宋简体" w:cs="Times New Roman"/>
          <w:b w:val="0"/>
          <w:bCs w:val="0"/>
          <w:color w:val="auto"/>
          <w:spacing w:val="0"/>
          <w:position w:val="0"/>
          <w:sz w:val="40"/>
          <w:szCs w:val="40"/>
        </w:rPr>
        <w:t>推进乡村振兴补助资金预算的通知</w:t>
      </w:r>
    </w:p>
    <w:p>
      <w:pPr>
        <w:keepNext w:val="0"/>
        <w:keepLines w:val="0"/>
        <w:pageBreakBefore w:val="0"/>
        <w:widowControl w:val="0"/>
        <w:kinsoku/>
        <w:wordWrap/>
        <w:overflowPunct/>
        <w:topLinePunct w:val="0"/>
        <w:autoSpaceDE/>
        <w:autoSpaceDN/>
        <w:bidi w:val="0"/>
        <w:adjustRightInd/>
        <w:snapToGrid/>
        <w:spacing w:line="620" w:lineRule="exact"/>
        <w:ind w:right="0" w:firstLine="640" w:firstLineChars="200"/>
        <w:jc w:val="both"/>
        <w:textAlignment w:val="baseline"/>
        <w:rPr>
          <w:rFonts w:hint="default" w:ascii="Times New Roman" w:hAnsi="Times New Roman" w:eastAsia="仿宋_GB2312" w:cs="Times New Roman"/>
          <w:color w:val="auto"/>
          <w:spacing w:val="0"/>
          <w:position w:val="0"/>
          <w:sz w:val="32"/>
          <w:szCs w:val="32"/>
        </w:rPr>
      </w:pP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1280" w:firstLineChars="4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财政局：</w:t>
      </w: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根据《</w:t>
      </w:r>
      <w:r>
        <w:rPr>
          <w:rFonts w:hint="default" w:ascii="Times New Roman" w:hAnsi="Times New Roman" w:eastAsia="仿宋_GB2312" w:cs="Times New Roman"/>
          <w:color w:val="auto"/>
          <w:spacing w:val="0"/>
          <w:position w:val="0"/>
          <w:sz w:val="32"/>
          <w:szCs w:val="32"/>
          <w:lang w:val="en-US" w:eastAsia="zh-CN"/>
        </w:rPr>
        <w:t>省财政厅</w:t>
      </w:r>
      <w:r>
        <w:rPr>
          <w:rFonts w:hint="default" w:ascii="Times New Roman" w:hAnsi="Times New Roman" w:eastAsia="仿宋_GB2312" w:cs="Times New Roman"/>
          <w:color w:val="auto"/>
          <w:spacing w:val="0"/>
          <w:position w:val="0"/>
          <w:sz w:val="32"/>
          <w:szCs w:val="32"/>
        </w:rPr>
        <w:t>关于下达2024 年中央财政衔接推进乡村振兴补助资金预算的通知》</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lang w:val="en-US" w:eastAsia="zh-CN"/>
        </w:rPr>
        <w:t>鄂财农发</w:t>
      </w:r>
      <w:r>
        <w:rPr>
          <w:rFonts w:hint="default" w:ascii="Times New Roman" w:hAnsi="Times New Roman" w:eastAsia="仿宋_GB2312" w:cs="Times New Roman"/>
          <w:color w:val="auto"/>
          <w:spacing w:val="0"/>
          <w:position w:val="0"/>
          <w:sz w:val="32"/>
          <w:szCs w:val="32"/>
        </w:rPr>
        <w:t>〔202</w:t>
      </w:r>
      <w:r>
        <w:rPr>
          <w:rFonts w:hint="eastAsia" w:ascii="Times New Roman" w:hAnsi="Times New Roman" w:eastAsia="仿宋_GB2312" w:cs="Times New Roman"/>
          <w:color w:val="auto"/>
          <w:spacing w:val="0"/>
          <w:position w:val="0"/>
          <w:sz w:val="32"/>
          <w:szCs w:val="32"/>
          <w:lang w:val="en-US" w:eastAsia="zh-CN"/>
        </w:rPr>
        <w:t>4</w:t>
      </w:r>
      <w:r>
        <w:rPr>
          <w:rFonts w:hint="default" w:ascii="Times New Roman" w:hAnsi="Times New Roman" w:eastAsia="仿宋_GB2312" w:cs="Times New Roman"/>
          <w:color w:val="auto"/>
          <w:spacing w:val="0"/>
          <w:position w:val="0"/>
          <w:sz w:val="32"/>
          <w:szCs w:val="32"/>
        </w:rPr>
        <w:t>〕</w:t>
      </w:r>
      <w:r>
        <w:rPr>
          <w:rFonts w:hint="eastAsia" w:ascii="Times New Roman" w:hAnsi="Times New Roman" w:eastAsia="仿宋_GB2312" w:cs="Times New Roman"/>
          <w:color w:val="auto"/>
          <w:spacing w:val="0"/>
          <w:position w:val="0"/>
          <w:sz w:val="32"/>
          <w:szCs w:val="32"/>
          <w:lang w:val="en-US" w:eastAsia="zh-CN"/>
        </w:rPr>
        <w:t>22</w:t>
      </w:r>
      <w:r>
        <w:rPr>
          <w:rFonts w:hint="default" w:ascii="Times New Roman" w:hAnsi="Times New Roman" w:eastAsia="仿宋_GB2312" w:cs="Times New Roman"/>
          <w:color w:val="auto"/>
          <w:spacing w:val="0"/>
          <w:position w:val="0"/>
          <w:sz w:val="32"/>
          <w:szCs w:val="32"/>
        </w:rPr>
        <w:t>号</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文件精神，现下达你地2024年中央财政衔接推进乡村振兴补助资金</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以下简称衔接资金</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预算指标</w:t>
      </w:r>
      <w:r>
        <w:rPr>
          <w:rFonts w:hint="default" w:ascii="Times New Roman" w:hAnsi="Times New Roman" w:eastAsia="仿宋_GB2312" w:cs="Times New Roman"/>
          <w:color w:val="auto"/>
          <w:spacing w:val="0"/>
          <w:position w:val="0"/>
          <w:sz w:val="32"/>
          <w:szCs w:val="32"/>
          <w:lang w:val="en-US" w:eastAsia="zh-CN"/>
        </w:rPr>
        <w:t xml:space="preserve">    </w:t>
      </w:r>
      <w:r>
        <w:rPr>
          <w:rFonts w:hint="default" w:ascii="Times New Roman" w:hAnsi="Times New Roman" w:eastAsia="仿宋_GB2312" w:cs="Times New Roman"/>
          <w:color w:val="auto"/>
          <w:spacing w:val="0"/>
          <w:position w:val="0"/>
          <w:sz w:val="32"/>
          <w:szCs w:val="32"/>
        </w:rPr>
        <w:t>万元</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项目名称：中央财政衔接推进乡村振兴补助资金，项目代码：10000015Z155110000004</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其中：巩固拓展脱贫攻坚成果和乡村振兴任务</w:t>
      </w:r>
      <w:r>
        <w:rPr>
          <w:rFonts w:hint="default" w:ascii="Times New Roman" w:hAnsi="Times New Roman" w:eastAsia="仿宋_GB2312" w:cs="Times New Roman"/>
          <w:color w:val="auto"/>
          <w:spacing w:val="0"/>
          <w:position w:val="0"/>
          <w:sz w:val="32"/>
          <w:szCs w:val="32"/>
          <w:lang w:val="en-US" w:eastAsia="zh-CN"/>
        </w:rPr>
        <w:t xml:space="preserve">    </w:t>
      </w:r>
      <w:r>
        <w:rPr>
          <w:rFonts w:hint="default" w:ascii="Times New Roman" w:hAnsi="Times New Roman" w:eastAsia="仿宋_GB2312" w:cs="Times New Roman"/>
          <w:color w:val="auto"/>
          <w:spacing w:val="0"/>
          <w:position w:val="0"/>
          <w:sz w:val="32"/>
          <w:szCs w:val="32"/>
        </w:rPr>
        <w:t>万元，以工代赈任务</w:t>
      </w:r>
      <w:r>
        <w:rPr>
          <w:rFonts w:hint="default" w:ascii="Times New Roman" w:hAnsi="Times New Roman" w:eastAsia="仿宋_GB2312" w:cs="Times New Roman"/>
          <w:color w:val="auto"/>
          <w:spacing w:val="0"/>
          <w:position w:val="0"/>
          <w:sz w:val="32"/>
          <w:szCs w:val="32"/>
          <w:lang w:val="en-US" w:eastAsia="zh-CN"/>
        </w:rPr>
        <w:t xml:space="preserve">    </w:t>
      </w:r>
      <w:r>
        <w:rPr>
          <w:rFonts w:hint="default" w:ascii="Times New Roman" w:hAnsi="Times New Roman" w:eastAsia="仿宋_GB2312" w:cs="Times New Roman"/>
          <w:color w:val="auto"/>
          <w:spacing w:val="0"/>
          <w:position w:val="0"/>
          <w:sz w:val="32"/>
          <w:szCs w:val="32"/>
        </w:rPr>
        <w:t>万元，少数民族发展任务</w:t>
      </w:r>
      <w:r>
        <w:rPr>
          <w:rFonts w:hint="default" w:ascii="Times New Roman" w:hAnsi="Times New Roman" w:eastAsia="仿宋_GB2312" w:cs="Times New Roman"/>
          <w:color w:val="auto"/>
          <w:spacing w:val="0"/>
          <w:position w:val="0"/>
          <w:sz w:val="32"/>
          <w:szCs w:val="32"/>
          <w:lang w:val="en-US" w:eastAsia="zh-CN"/>
        </w:rPr>
        <w:t xml:space="preserve">    </w:t>
      </w:r>
      <w:r>
        <w:rPr>
          <w:rFonts w:hint="default" w:ascii="Times New Roman" w:hAnsi="Times New Roman" w:eastAsia="仿宋_GB2312" w:cs="Times New Roman"/>
          <w:color w:val="auto"/>
          <w:spacing w:val="0"/>
          <w:position w:val="0"/>
          <w:sz w:val="32"/>
          <w:szCs w:val="32"/>
        </w:rPr>
        <w:t xml:space="preserve"> 万元，欠发达国有农场巩固提升任务</w:t>
      </w:r>
      <w:r>
        <w:rPr>
          <w:rFonts w:hint="default" w:ascii="Times New Roman" w:hAnsi="Times New Roman" w:eastAsia="仿宋_GB2312" w:cs="Times New Roman"/>
          <w:color w:val="auto"/>
          <w:spacing w:val="0"/>
          <w:position w:val="0"/>
          <w:sz w:val="32"/>
          <w:szCs w:val="32"/>
          <w:lang w:val="en-US" w:eastAsia="zh-CN"/>
        </w:rPr>
        <w:t xml:space="preserve">    </w:t>
      </w:r>
      <w:r>
        <w:rPr>
          <w:rFonts w:hint="default" w:ascii="Times New Roman" w:hAnsi="Times New Roman" w:eastAsia="仿宋_GB2312" w:cs="Times New Roman"/>
          <w:color w:val="auto"/>
          <w:spacing w:val="0"/>
          <w:position w:val="0"/>
          <w:sz w:val="32"/>
          <w:szCs w:val="32"/>
        </w:rPr>
        <w:t>万元，欠发达国有林场巩固提升任务</w:t>
      </w:r>
      <w:r>
        <w:rPr>
          <w:rFonts w:hint="default" w:ascii="Times New Roman" w:hAnsi="Times New Roman" w:eastAsia="仿宋_GB2312" w:cs="Times New Roman"/>
          <w:color w:val="auto"/>
          <w:spacing w:val="0"/>
          <w:position w:val="0"/>
          <w:sz w:val="32"/>
          <w:szCs w:val="32"/>
          <w:lang w:val="en-US" w:eastAsia="zh-CN"/>
        </w:rPr>
        <w:t xml:space="preserve">    </w:t>
      </w:r>
      <w:r>
        <w:rPr>
          <w:rFonts w:hint="default" w:ascii="Times New Roman" w:hAnsi="Times New Roman" w:eastAsia="仿宋_GB2312" w:cs="Times New Roman"/>
          <w:color w:val="auto"/>
          <w:spacing w:val="0"/>
          <w:position w:val="0"/>
          <w:sz w:val="32"/>
          <w:szCs w:val="32"/>
        </w:rPr>
        <w:t>万元。现将有关事项通知如下：</w:t>
      </w: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一、上述资金收支列2024年政府收支分类科目“1100231 巩固脱贫攻坚成果衔接乡村振兴转移支付收入”和“21305巩固脱贫攻坚成果衔接乡村振兴”</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上述指标通过2024年财政年终结算办理。</w:t>
      </w: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二、 突出资金支持重点</w:t>
      </w:r>
      <w:r>
        <w:rPr>
          <w:rFonts w:hint="eastAsia" w:ascii="Times New Roman" w:hAnsi="Times New Roman" w:eastAsia="仿宋_GB2312" w:cs="Times New Roman"/>
          <w:color w:val="auto"/>
          <w:spacing w:val="0"/>
          <w:position w:val="0"/>
          <w:sz w:val="32"/>
          <w:szCs w:val="32"/>
          <w:lang w:eastAsia="zh-CN"/>
        </w:rPr>
        <w:t>，</w:t>
      </w:r>
      <w:r>
        <w:rPr>
          <w:rFonts w:hint="eastAsia" w:ascii="Times New Roman" w:hAnsi="Times New Roman" w:eastAsia="仿宋_GB2312" w:cs="Times New Roman"/>
          <w:color w:val="auto"/>
          <w:spacing w:val="0"/>
          <w:position w:val="0"/>
          <w:sz w:val="32"/>
          <w:szCs w:val="32"/>
          <w:lang w:val="en-US" w:eastAsia="zh-CN"/>
        </w:rPr>
        <w:t>强化重点政策和重点工作落实</w:t>
      </w:r>
      <w:r>
        <w:rPr>
          <w:rFonts w:hint="default" w:ascii="Times New Roman" w:hAnsi="Times New Roman" w:eastAsia="仿宋_GB2312" w:cs="Times New Roman"/>
          <w:color w:val="auto"/>
          <w:spacing w:val="0"/>
          <w:position w:val="0"/>
          <w:sz w:val="32"/>
          <w:szCs w:val="32"/>
        </w:rPr>
        <w:t>。</w:t>
      </w:r>
      <w:r>
        <w:rPr>
          <w:rFonts w:hint="eastAsia" w:ascii="Times New Roman" w:hAnsi="Times New Roman" w:eastAsia="仿宋_GB2312" w:cs="Times New Roman"/>
          <w:color w:val="auto"/>
          <w:spacing w:val="0"/>
          <w:position w:val="0"/>
          <w:sz w:val="32"/>
          <w:szCs w:val="32"/>
          <w:lang w:val="en-US" w:eastAsia="zh-CN"/>
        </w:rPr>
        <w:t>请各地认真对标对表中央、省委和市委一号文件要求，持续加强产业和就业帮扶，中央财政衔接资金用于产业发展的比例保持总体稳定。督促指导行业部门加强产业项目认证选择和组织实施，可适当统筹衔接资金集中支持县域农业特色产业全产业链发展，推动产业项目明显提质增效。认真落实《中共中央组织部 财政部 农业农村部关于强化农村基层党组织政治功能和组织功能扶持发展新型农村集体经济的通知》要求，联合相关部门抓好扶持发展新型农村集体经济工作，突出支持重点和创新方向，重点支持发掘利用当地资源，有效改造利用现有资产，积极发展社会化服务，在拓宽村集体经济收入渠道的同时，强化基层党组织的政治功能和组织功能。</w:t>
      </w: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lang w:val="en-US" w:eastAsia="zh-CN"/>
        </w:rPr>
      </w:pPr>
      <w:r>
        <w:rPr>
          <w:rFonts w:hint="default" w:ascii="Times New Roman" w:hAnsi="Times New Roman" w:eastAsia="仿宋_GB2312" w:cs="Times New Roman"/>
          <w:color w:val="auto"/>
          <w:spacing w:val="0"/>
          <w:position w:val="0"/>
          <w:sz w:val="32"/>
          <w:szCs w:val="32"/>
        </w:rPr>
        <w:t>三</w:t>
      </w:r>
      <w:r>
        <w:rPr>
          <w:rFonts w:hint="default" w:ascii="Times New Roman" w:hAnsi="Times New Roman" w:eastAsia="仿宋_GB2312" w:cs="Times New Roman"/>
          <w:color w:val="auto"/>
          <w:spacing w:val="0"/>
          <w:position w:val="0"/>
          <w:sz w:val="32"/>
          <w:szCs w:val="32"/>
          <w:lang w:eastAsia="zh-CN"/>
        </w:rPr>
        <w:t>、</w:t>
      </w:r>
      <w:r>
        <w:rPr>
          <w:rFonts w:hint="eastAsia" w:ascii="Times New Roman" w:hAnsi="Times New Roman" w:eastAsia="仿宋_GB2312" w:cs="Times New Roman"/>
          <w:color w:val="auto"/>
          <w:spacing w:val="0"/>
          <w:position w:val="0"/>
          <w:sz w:val="32"/>
          <w:szCs w:val="32"/>
          <w:lang w:val="en-US" w:eastAsia="zh-CN"/>
        </w:rPr>
        <w:t>做好政策衔接，做实财政衔接资金年度实施方案</w:t>
      </w:r>
      <w:r>
        <w:rPr>
          <w:rFonts w:hint="default" w:ascii="Times New Roman" w:hAnsi="Times New Roman" w:eastAsia="仿宋_GB2312" w:cs="Times New Roman"/>
          <w:color w:val="auto"/>
          <w:spacing w:val="0"/>
          <w:position w:val="0"/>
          <w:sz w:val="32"/>
          <w:szCs w:val="32"/>
        </w:rPr>
        <w:t>。</w:t>
      </w:r>
      <w:r>
        <w:rPr>
          <w:rFonts w:hint="eastAsia" w:ascii="Times New Roman" w:hAnsi="Times New Roman" w:eastAsia="仿宋_GB2312" w:cs="Times New Roman"/>
          <w:color w:val="auto"/>
          <w:spacing w:val="0"/>
          <w:position w:val="0"/>
          <w:sz w:val="32"/>
          <w:szCs w:val="32"/>
          <w:lang w:val="en-US" w:eastAsia="zh-CN"/>
        </w:rPr>
        <w:t>根据财政部等11部（委、局）《支持脱贫县统筹整合使用财政涉农资金工作的通知》（财农〔2021〕22号）、《关于将脱贫县涉农资金统筹整合试点政策优化调整至国家乡村振兴重点帮扶县实施的通知》（财农〔2024〕1号）文件精神，我省不再执行脱贫县涉农资金统筹整合试点政策。2024—2025年，脱贫县要将全部（中央、省、市、县）四级财政衔接资金编制《财政衔接资金项目年度实施方案》，于每年7月底前报省农业农村厅、省财政厅备案审核。财政衔接资金项目库建设及管理执行《省乡村振兴局 省委农办 省发改委 省民宗委 省农业农村厅 省林业局 省财政厅关于进一步加强衔接资金项目管理的实施意见》（鄂乡振发〔2023〕14号）文件规定。</w:t>
      </w: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四 、落实直达资金管理要求。按照《关于加强财政衔接推进乡村振兴补助资金纳入直达管理工作的通知》</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鄂财农发〔2022〕28号</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等要求，市县财政部门要将本级衔接资金同步纳入直达范围，单独下达衔接资金指标文件和对应预算指标</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准确标注直达标识，不得与非衔接资金合并下达预算指标，实现直达资金管理的完整性和准确性。直达标识贯穿资金分配、拨付、使用等整个环节，且保持不变，财政部和省财政厅对直达资金实行动态监控。市县财政部门要加快预算指标分配下达速度，原则上在30日内将上级财政下达的直达资金细化到具体项目和单位，并积极与乡村振兴部门对接，确保财政直达资金监控系统与防返贫监测系统数据保持一致。</w:t>
      </w:r>
    </w:p>
    <w:p>
      <w:pPr>
        <w:pStyle w:val="2"/>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五、 强化资金绩效管理。要切实管好用好衔接资金，</w:t>
      </w:r>
      <w:r>
        <w:rPr>
          <w:rFonts w:hint="eastAsia" w:ascii="Times New Roman" w:hAnsi="Times New Roman" w:eastAsia="仿宋_GB2312" w:cs="Times New Roman"/>
          <w:color w:val="auto"/>
          <w:spacing w:val="0"/>
          <w:position w:val="0"/>
          <w:sz w:val="32"/>
          <w:szCs w:val="32"/>
          <w:lang w:val="en-US" w:eastAsia="zh-CN"/>
        </w:rPr>
        <w:t>在确保资金安全前提下，加快衔接资金预算执行，</w:t>
      </w:r>
      <w:r>
        <w:rPr>
          <w:rFonts w:hint="default" w:ascii="Times New Roman" w:hAnsi="Times New Roman" w:eastAsia="仿宋_GB2312" w:cs="Times New Roman"/>
          <w:color w:val="auto"/>
          <w:spacing w:val="0"/>
          <w:position w:val="0"/>
          <w:sz w:val="32"/>
          <w:szCs w:val="32"/>
        </w:rPr>
        <w:t>充分发挥衔接资金使用效益。各地在收到</w:t>
      </w:r>
      <w:r>
        <w:rPr>
          <w:rFonts w:hint="eastAsia" w:ascii="Times New Roman" w:hAnsi="Times New Roman" w:eastAsia="仿宋_GB2312" w:cs="Times New Roman"/>
          <w:color w:val="auto"/>
          <w:spacing w:val="0"/>
          <w:position w:val="0"/>
          <w:sz w:val="32"/>
          <w:szCs w:val="32"/>
          <w:lang w:val="en-US" w:eastAsia="zh-CN"/>
        </w:rPr>
        <w:t>本</w:t>
      </w:r>
      <w:r>
        <w:rPr>
          <w:rFonts w:hint="default" w:ascii="Times New Roman" w:hAnsi="Times New Roman" w:eastAsia="仿宋_GB2312" w:cs="Times New Roman"/>
          <w:color w:val="auto"/>
          <w:spacing w:val="0"/>
          <w:position w:val="0"/>
          <w:sz w:val="32"/>
          <w:szCs w:val="32"/>
        </w:rPr>
        <w:t>指标文件30日内，将</w:t>
      </w:r>
      <w:r>
        <w:rPr>
          <w:rFonts w:hint="eastAsia" w:ascii="Times New Roman" w:hAnsi="Times New Roman" w:eastAsia="仿宋_GB2312" w:cs="Times New Roman"/>
          <w:color w:val="auto"/>
          <w:spacing w:val="0"/>
          <w:position w:val="0"/>
          <w:sz w:val="32"/>
          <w:szCs w:val="32"/>
          <w:lang w:val="en-US" w:eastAsia="zh-CN"/>
        </w:rPr>
        <w:t>中央和省级衔接</w:t>
      </w:r>
      <w:r>
        <w:rPr>
          <w:rFonts w:hint="default" w:ascii="Times New Roman" w:hAnsi="Times New Roman" w:eastAsia="仿宋_GB2312" w:cs="Times New Roman"/>
          <w:color w:val="auto"/>
          <w:spacing w:val="0"/>
          <w:position w:val="0"/>
          <w:sz w:val="32"/>
          <w:szCs w:val="32"/>
        </w:rPr>
        <w:t>资金</w:t>
      </w:r>
      <w:r>
        <w:rPr>
          <w:rFonts w:hint="eastAsia" w:ascii="Times New Roman" w:hAnsi="Times New Roman" w:eastAsia="仿宋_GB2312" w:cs="Times New Roman"/>
          <w:color w:val="auto"/>
          <w:spacing w:val="0"/>
          <w:position w:val="0"/>
          <w:sz w:val="32"/>
          <w:szCs w:val="32"/>
          <w:lang w:eastAsia="zh-CN"/>
        </w:rPr>
        <w:t>（</w:t>
      </w:r>
      <w:r>
        <w:rPr>
          <w:rFonts w:hint="eastAsia" w:ascii="Times New Roman" w:hAnsi="Times New Roman" w:eastAsia="仿宋_GB2312" w:cs="Times New Roman"/>
          <w:color w:val="auto"/>
          <w:spacing w:val="0"/>
          <w:position w:val="0"/>
          <w:sz w:val="32"/>
          <w:szCs w:val="32"/>
          <w:lang w:val="en-US" w:eastAsia="zh-CN"/>
        </w:rPr>
        <w:t>鄂财农发〔2024〕12号</w:t>
      </w:r>
      <w:r>
        <w:rPr>
          <w:rFonts w:hint="eastAsia"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区域绩效目标备案表</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详见附件2</w:t>
      </w:r>
      <w:r>
        <w:rPr>
          <w:rFonts w:hint="default" w:ascii="Times New Roman" w:hAnsi="Times New Roman" w:eastAsia="仿宋_GB2312" w:cs="Times New Roman"/>
          <w:color w:val="auto"/>
          <w:spacing w:val="0"/>
          <w:position w:val="0"/>
          <w:sz w:val="32"/>
          <w:szCs w:val="32"/>
          <w:lang w:eastAsia="zh-CN"/>
        </w:rPr>
        <w:t>）</w:t>
      </w:r>
      <w:r>
        <w:rPr>
          <w:rFonts w:hint="default" w:ascii="Times New Roman" w:hAnsi="Times New Roman" w:eastAsia="仿宋_GB2312" w:cs="Times New Roman"/>
          <w:color w:val="auto"/>
          <w:spacing w:val="0"/>
          <w:position w:val="0"/>
          <w:sz w:val="32"/>
          <w:szCs w:val="32"/>
        </w:rPr>
        <w:t>一并报省财政厅、省</w:t>
      </w:r>
      <w:r>
        <w:rPr>
          <w:rFonts w:hint="eastAsia" w:ascii="Times New Roman" w:hAnsi="Times New Roman" w:eastAsia="仿宋_GB2312" w:cs="Times New Roman"/>
          <w:color w:val="auto"/>
          <w:spacing w:val="0"/>
          <w:position w:val="0"/>
          <w:sz w:val="32"/>
          <w:szCs w:val="32"/>
          <w:lang w:val="en-US" w:eastAsia="zh-CN"/>
        </w:rPr>
        <w:t>农业农村厅</w:t>
      </w:r>
      <w:r>
        <w:rPr>
          <w:rFonts w:hint="default" w:ascii="Times New Roman" w:hAnsi="Times New Roman" w:eastAsia="仿宋_GB2312" w:cs="Times New Roman"/>
          <w:color w:val="auto"/>
          <w:spacing w:val="0"/>
          <w:position w:val="0"/>
          <w:sz w:val="32"/>
          <w:szCs w:val="32"/>
        </w:rPr>
        <w:t>等部门。</w:t>
      </w:r>
    </w:p>
    <w:p>
      <w:pPr>
        <w:keepNext w:val="0"/>
        <w:keepLines w:val="0"/>
        <w:pageBreakBefore w:val="0"/>
        <w:widowControl w:val="0"/>
        <w:kinsoku/>
        <w:wordWrap/>
        <w:overflowPunct/>
        <w:topLinePunct w:val="0"/>
        <w:autoSpaceDE/>
        <w:autoSpaceDN/>
        <w:bidi w:val="0"/>
        <w:adjustRightInd/>
        <w:snapToGrid/>
        <w:spacing w:line="620" w:lineRule="exact"/>
        <w:ind w:left="0" w:right="0" w:firstLine="640" w:firstLineChars="200"/>
        <w:jc w:val="both"/>
        <w:textAlignment w:val="baseline"/>
        <w:rPr>
          <w:rFonts w:hint="default" w:ascii="Times New Roman" w:hAnsi="Times New Roman" w:eastAsia="仿宋_GB2312" w:cs="Times New Roman"/>
          <w:color w:val="auto"/>
          <w:spacing w:val="0"/>
          <w:position w:val="0"/>
          <w:sz w:val="32"/>
          <w:szCs w:val="32"/>
        </w:rPr>
      </w:pPr>
    </w:p>
    <w:p>
      <w:pPr>
        <w:pStyle w:val="2"/>
        <w:keepNext w:val="0"/>
        <w:keepLines w:val="0"/>
        <w:pageBreakBefore w:val="0"/>
        <w:widowControl w:val="0"/>
        <w:kinsoku/>
        <w:wordWrap/>
        <w:overflowPunct/>
        <w:topLinePunct w:val="0"/>
        <w:autoSpaceDE/>
        <w:autoSpaceDN/>
        <w:bidi w:val="0"/>
        <w:adjustRightInd/>
        <w:snapToGrid/>
        <w:spacing w:line="620" w:lineRule="exact"/>
        <w:ind w:left="1918" w:leftChars="304" w:right="0" w:hanging="1280" w:hangingChars="4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color w:val="auto"/>
          <w:spacing w:val="0"/>
          <w:position w:val="0"/>
          <w:sz w:val="32"/>
          <w:szCs w:val="32"/>
        </w:rPr>
        <w:t>附件：1.2024年中央财政衔接推进乡村振兴补助资金分配表</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620" w:lineRule="exact"/>
        <w:ind w:left="0" w:leftChars="0" w:right="0" w:rightChars="0" w:firstLine="1600" w:firstLineChars="500"/>
        <w:jc w:val="both"/>
        <w:textAlignment w:val="baseline"/>
        <w:rPr>
          <w:rFonts w:hint="default" w:ascii="Times New Roman" w:hAnsi="Times New Roman" w:eastAsia="仿宋_GB2312" w:cs="Times New Roman"/>
          <w:color w:val="auto"/>
          <w:spacing w:val="0"/>
          <w:position w:val="0"/>
          <w:sz w:val="32"/>
          <w:szCs w:val="32"/>
        </w:rPr>
      </w:pPr>
      <w:r>
        <w:rPr>
          <w:rFonts w:hint="default" w:ascii="Times New Roman" w:hAnsi="Times New Roman" w:eastAsia="仿宋_GB2312" w:cs="Times New Roman"/>
          <w:snapToGrid w:val="0"/>
          <w:color w:val="auto"/>
          <w:spacing w:val="0"/>
          <w:kern w:val="0"/>
          <w:position w:val="0"/>
          <w:sz w:val="32"/>
          <w:szCs w:val="32"/>
          <w:lang w:val="en-US" w:eastAsia="en-US" w:bidi="ar-SA"/>
        </w:rPr>
        <w:t>2.</w:t>
      </w:r>
      <w:r>
        <w:rPr>
          <w:rFonts w:hint="eastAsia" w:ascii="Times New Roman" w:hAnsi="Times New Roman" w:eastAsia="仿宋_GB2312" w:cs="Times New Roman"/>
          <w:snapToGrid w:val="0"/>
          <w:color w:val="auto"/>
          <w:spacing w:val="0"/>
          <w:kern w:val="0"/>
          <w:position w:val="0"/>
          <w:sz w:val="32"/>
          <w:szCs w:val="32"/>
          <w:lang w:val="en-US" w:eastAsia="zh-CN" w:bidi="ar-SA"/>
        </w:rPr>
        <w:t>衔接</w:t>
      </w:r>
      <w:r>
        <w:rPr>
          <w:rFonts w:hint="default" w:ascii="Times New Roman" w:hAnsi="Times New Roman" w:eastAsia="仿宋_GB2312" w:cs="Times New Roman"/>
          <w:color w:val="auto"/>
          <w:spacing w:val="0"/>
          <w:position w:val="0"/>
          <w:sz w:val="32"/>
          <w:szCs w:val="32"/>
        </w:rPr>
        <w:t>资金区域绩效目标备案表</w:t>
      </w:r>
    </w:p>
    <w:p>
      <w:pPr>
        <w:pStyle w:val="2"/>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baseline"/>
        <w:rPr>
          <w:rFonts w:hint="default" w:ascii="Times New Roman" w:hAnsi="Times New Roman" w:eastAsia="仿宋_GB2312" w:cs="Times New Roman"/>
          <w:color w:val="auto"/>
          <w:spacing w:val="0"/>
          <w:position w:val="0"/>
          <w:sz w:val="32"/>
          <w:szCs w:val="32"/>
        </w:rPr>
      </w:pPr>
    </w:p>
    <w:p>
      <w:pPr>
        <w:pStyle w:val="2"/>
        <w:keepNext w:val="0"/>
        <w:keepLines w:val="0"/>
        <w:pageBreakBefore w:val="0"/>
        <w:widowControl w:val="0"/>
        <w:numPr>
          <w:ilvl w:val="0"/>
          <w:numId w:val="0"/>
        </w:numPr>
        <w:kinsoku/>
        <w:wordWrap/>
        <w:overflowPunct/>
        <w:topLinePunct w:val="0"/>
        <w:autoSpaceDE/>
        <w:autoSpaceDN/>
        <w:bidi w:val="0"/>
        <w:adjustRightInd/>
        <w:snapToGrid/>
        <w:spacing w:line="620" w:lineRule="exact"/>
        <w:ind w:right="0" w:rightChars="0"/>
        <w:jc w:val="both"/>
        <w:textAlignment w:val="baseline"/>
        <w:rPr>
          <w:rFonts w:hint="default" w:ascii="Times New Roman" w:hAnsi="Times New Roman" w:eastAsia="仿宋_GB2312" w:cs="Times New Roman"/>
          <w:color w:val="auto"/>
          <w:spacing w:val="0"/>
          <w:position w:val="0"/>
          <w:sz w:val="32"/>
          <w:szCs w:val="32"/>
        </w:rPr>
      </w:pPr>
    </w:p>
    <w:p>
      <w:pPr>
        <w:keepNext w:val="0"/>
        <w:keepLines w:val="0"/>
        <w:pageBreakBefore w:val="0"/>
        <w:widowControl w:val="0"/>
        <w:kinsoku/>
        <w:wordWrap/>
        <w:overflowPunct/>
        <w:topLinePunct w:val="0"/>
        <w:autoSpaceDE/>
        <w:autoSpaceDN/>
        <w:bidi w:val="0"/>
        <w:adjustRightInd/>
        <w:snapToGrid/>
        <w:spacing w:line="620" w:lineRule="exact"/>
        <w:ind w:firstLine="5120" w:firstLineChars="1600"/>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ind w:firstLine="5120" w:firstLineChars="1600"/>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ind w:firstLine="5120" w:firstLineChars="1600"/>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ind w:firstLine="5120" w:firstLineChars="1600"/>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ind w:firstLine="5120" w:firstLineChars="1600"/>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r>
        <w:rPr>
          <w:rFonts w:hint="default" w:ascii="Times New Roman" w:hAnsi="Times New Roman" w:eastAsia="仿宋_GB2312" w:cs="Times New Roman"/>
          <w:snapToGrid w:val="0"/>
          <w:color w:val="auto"/>
          <w:spacing w:val="0"/>
          <w:kern w:val="0"/>
          <w:position w:val="0"/>
          <w:sz w:val="32"/>
          <w:szCs w:val="32"/>
          <w:lang w:val="en-US" w:eastAsia="en-US" w:bidi="ar-SA"/>
        </w:rPr>
        <w:t>202</w:t>
      </w:r>
      <w:r>
        <w:rPr>
          <w:rFonts w:hint="default" w:ascii="Times New Roman" w:hAnsi="Times New Roman" w:eastAsia="仿宋_GB2312" w:cs="Times New Roman"/>
          <w:snapToGrid w:val="0"/>
          <w:color w:val="auto"/>
          <w:spacing w:val="0"/>
          <w:kern w:val="0"/>
          <w:position w:val="0"/>
          <w:sz w:val="32"/>
          <w:szCs w:val="32"/>
          <w:lang w:val="en-US" w:eastAsia="zh-CN" w:bidi="ar-SA"/>
        </w:rPr>
        <w:t>4</w:t>
      </w:r>
      <w:r>
        <w:rPr>
          <w:rFonts w:hint="default" w:ascii="Times New Roman" w:hAnsi="Times New Roman" w:eastAsia="仿宋_GB2312" w:cs="Times New Roman"/>
          <w:snapToGrid w:val="0"/>
          <w:color w:val="auto"/>
          <w:spacing w:val="0"/>
          <w:kern w:val="0"/>
          <w:position w:val="0"/>
          <w:sz w:val="32"/>
          <w:szCs w:val="32"/>
          <w:lang w:val="en-US" w:eastAsia="en-US" w:bidi="ar-SA"/>
        </w:rPr>
        <w:t>年</w:t>
      </w:r>
      <w:r>
        <w:rPr>
          <w:rFonts w:hint="eastAsia" w:ascii="Times New Roman" w:hAnsi="Times New Roman" w:eastAsia="仿宋_GB2312" w:cs="Times New Roman"/>
          <w:snapToGrid w:val="0"/>
          <w:color w:val="auto"/>
          <w:spacing w:val="0"/>
          <w:kern w:val="0"/>
          <w:position w:val="0"/>
          <w:sz w:val="32"/>
          <w:szCs w:val="32"/>
          <w:lang w:val="en-US" w:eastAsia="zh-CN" w:bidi="ar-SA"/>
        </w:rPr>
        <w:t>6</w:t>
      </w:r>
      <w:r>
        <w:rPr>
          <w:rFonts w:hint="default" w:ascii="Times New Roman" w:hAnsi="Times New Roman" w:eastAsia="仿宋_GB2312" w:cs="Times New Roman"/>
          <w:snapToGrid w:val="0"/>
          <w:color w:val="auto"/>
          <w:spacing w:val="0"/>
          <w:kern w:val="0"/>
          <w:position w:val="0"/>
          <w:sz w:val="32"/>
          <w:szCs w:val="32"/>
          <w:lang w:val="en-US" w:eastAsia="en-US" w:bidi="ar-SA"/>
        </w:rPr>
        <w:t>月</w:t>
      </w:r>
      <w:r>
        <w:rPr>
          <w:rFonts w:hint="eastAsia" w:ascii="Times New Roman" w:hAnsi="Times New Roman" w:eastAsia="仿宋_GB2312" w:cs="Times New Roman"/>
          <w:snapToGrid w:val="0"/>
          <w:color w:val="auto"/>
          <w:spacing w:val="0"/>
          <w:kern w:val="0"/>
          <w:position w:val="0"/>
          <w:sz w:val="32"/>
          <w:szCs w:val="32"/>
          <w:lang w:val="en-US" w:eastAsia="zh-CN" w:bidi="ar-SA"/>
        </w:rPr>
        <w:t>5</w:t>
      </w:r>
      <w:r>
        <w:rPr>
          <w:rFonts w:hint="default" w:ascii="Times New Roman" w:hAnsi="Times New Roman" w:eastAsia="仿宋_GB2312" w:cs="Times New Roman"/>
          <w:snapToGrid w:val="0"/>
          <w:color w:val="auto"/>
          <w:spacing w:val="0"/>
          <w:kern w:val="0"/>
          <w:position w:val="0"/>
          <w:sz w:val="32"/>
          <w:szCs w:val="32"/>
          <w:lang w:val="en-US" w:eastAsia="en-US" w:bidi="ar-SA"/>
        </w:rPr>
        <w:t>日</w:t>
      </w:r>
    </w:p>
    <w:p>
      <w:pPr>
        <w:keepNext w:val="0"/>
        <w:keepLines w:val="0"/>
        <w:pageBreakBefore w:val="0"/>
        <w:widowControl w:val="0"/>
        <w:kinsoku/>
        <w:wordWrap/>
        <w:overflowPunct/>
        <w:topLinePunct w:val="0"/>
        <w:autoSpaceDE/>
        <w:autoSpaceDN/>
        <w:bidi w:val="0"/>
        <w:adjustRightInd/>
        <w:snapToGrid/>
        <w:spacing w:line="620" w:lineRule="exact"/>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bookmarkStart w:id="0" w:name="_GoBack"/>
      <w:bookmarkEnd w:id="0"/>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黑体" w:cs="Times New Roman"/>
          <w:sz w:val="32"/>
          <w:szCs w:val="32"/>
        </w:rPr>
      </w:pPr>
    </w:p>
    <w:p>
      <w:pPr>
        <w:keepNext w:val="0"/>
        <w:keepLines w:val="0"/>
        <w:pageBreakBefore w:val="0"/>
        <w:widowControl w:val="0"/>
        <w:kinsoku/>
        <w:wordWrap/>
        <w:overflowPunct/>
        <w:topLinePunct w:val="0"/>
        <w:autoSpaceDE/>
        <w:autoSpaceDN/>
        <w:bidi w:val="0"/>
        <w:adjustRightInd/>
        <w:snapToGrid/>
        <w:spacing w:after="0" w:line="240" w:lineRule="auto"/>
        <w:ind w:firstLine="320" w:firstLineChars="100"/>
        <w:jc w:val="both"/>
        <w:textAlignment w:val="auto"/>
        <w:rPr>
          <w:rFonts w:hint="default" w:ascii="Times New Roman" w:hAnsi="Times New Roman" w:eastAsia="方正仿宋简体" w:cs="Times New Roman"/>
          <w:sz w:val="32"/>
          <w:szCs w:val="32"/>
        </w:rPr>
      </w:pPr>
      <w:r>
        <w:rPr>
          <w:rFonts w:hint="default" w:ascii="Times New Roman" w:hAnsi="Times New Roman" w:eastAsia="黑体" w:cs="Times New Roman"/>
          <w:sz w:val="32"/>
          <w:szCs w:val="32"/>
        </w:rPr>
        <w:t>信息公开选项</w:t>
      </w:r>
      <w:r>
        <w:rPr>
          <w:rFonts w:hint="eastAsia" w:ascii="Times New Roman" w:hAnsi="Times New Roman" w:eastAsia="黑体" w:cs="Times New Roman"/>
          <w:sz w:val="32"/>
          <w:szCs w:val="32"/>
          <w:lang w:val="en-US" w:eastAsia="zh-CN"/>
        </w:rPr>
        <w:t>：</w:t>
      </w:r>
      <w:r>
        <w:rPr>
          <w:rFonts w:hint="eastAsia" w:ascii="Times New Roman" w:hAnsi="Times New Roman" w:eastAsia="方正仿宋简体" w:cs="Times New Roman"/>
          <w:sz w:val="32"/>
          <w:szCs w:val="32"/>
          <w:lang w:val="en-US" w:eastAsia="zh-CN"/>
        </w:rPr>
        <w:t>主动</w:t>
      </w:r>
      <w:r>
        <w:rPr>
          <w:rFonts w:hint="default" w:ascii="Times New Roman" w:hAnsi="Times New Roman" w:eastAsia="方正仿宋简体" w:cs="Times New Roman"/>
          <w:sz w:val="32"/>
          <w:szCs w:val="32"/>
        </w:rPr>
        <w:t>公开</w:t>
      </w:r>
    </w:p>
    <w:p>
      <w:pPr>
        <w:keepNext w:val="0"/>
        <w:keepLines w:val="0"/>
        <w:pageBreakBefore w:val="0"/>
        <w:widowControl w:val="0"/>
        <w:pBdr>
          <w:top w:val="single" w:color="auto" w:sz="6" w:space="1"/>
          <w:bottom w:val="single" w:color="auto" w:sz="6" w:space="1"/>
        </w:pBdr>
        <w:tabs>
          <w:tab w:val="left" w:pos="8218"/>
        </w:tabs>
        <w:kinsoku/>
        <w:wordWrap/>
        <w:overflowPunct/>
        <w:topLinePunct w:val="0"/>
        <w:autoSpaceDE/>
        <w:autoSpaceDN/>
        <w:bidi w:val="0"/>
        <w:adjustRightInd/>
        <w:snapToGrid/>
        <w:spacing w:line="600" w:lineRule="exact"/>
        <w:ind w:firstLine="320" w:firstLineChars="100"/>
        <w:textAlignment w:val="auto"/>
        <w:rPr>
          <w:rFonts w:hint="default"/>
          <w:lang w:val="en-US" w:eastAsia="zh-CN"/>
        </w:rPr>
      </w:pPr>
      <w:r>
        <w:rPr>
          <w:rFonts w:hint="default" w:ascii="Times New Roman" w:hAnsi="Times New Roman" w:eastAsia="方正仿宋简体" w:cs="Times New Roman"/>
          <w:sz w:val="32"/>
          <w:szCs w:val="32"/>
        </w:rPr>
        <w:t xml:space="preserve">随州市财政局办公室    </w:t>
      </w:r>
      <w:r>
        <w:rPr>
          <w:rFonts w:hint="default"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sz w:val="32"/>
          <w:szCs w:val="32"/>
        </w:rPr>
        <w:t xml:space="preserve">      </w:t>
      </w:r>
      <w:r>
        <w:rPr>
          <w:rFonts w:hint="eastAsia" w:ascii="Times New Roman" w:hAnsi="Times New Roman" w:eastAsia="方正仿宋简体" w:cs="Times New Roman"/>
          <w:sz w:val="32"/>
          <w:szCs w:val="32"/>
          <w:lang w:val="en-US" w:eastAsia="zh-CN"/>
        </w:rPr>
        <w:t xml:space="preserve">                    </w:t>
      </w:r>
      <w:r>
        <w:rPr>
          <w:rFonts w:hint="default" w:ascii="Times New Roman" w:hAnsi="Times New Roman" w:eastAsia="方正仿宋简体" w:cs="Times New Roman"/>
          <w:sz w:val="32"/>
          <w:szCs w:val="32"/>
        </w:rPr>
        <w:t>202</w:t>
      </w:r>
      <w:r>
        <w:rPr>
          <w:rFonts w:hint="eastAsia" w:ascii="Times New Roman" w:hAnsi="Times New Roman" w:eastAsia="方正仿宋简体" w:cs="Times New Roman"/>
          <w:sz w:val="32"/>
          <w:szCs w:val="32"/>
          <w:lang w:val="en-US" w:eastAsia="zh-CN"/>
        </w:rPr>
        <w:t>4</w:t>
      </w:r>
      <w:r>
        <w:rPr>
          <w:rFonts w:hint="default" w:ascii="Times New Roman" w:hAnsi="Times New Roman" w:eastAsia="方正仿宋简体" w:cs="Times New Roman"/>
          <w:sz w:val="32"/>
          <w:szCs w:val="32"/>
        </w:rPr>
        <w:t>年</w:t>
      </w:r>
      <w:r>
        <w:rPr>
          <w:rFonts w:hint="eastAsia" w:ascii="Times New Roman" w:hAnsi="Times New Roman" w:eastAsia="方正仿宋简体" w:cs="Times New Roman"/>
          <w:sz w:val="32"/>
          <w:szCs w:val="32"/>
          <w:lang w:val="en-US" w:eastAsia="zh-CN"/>
        </w:rPr>
        <w:t>6</w:t>
      </w:r>
      <w:r>
        <w:rPr>
          <w:rFonts w:hint="default" w:ascii="Times New Roman" w:hAnsi="Times New Roman" w:eastAsia="方正仿宋简体" w:cs="Times New Roman"/>
          <w:sz w:val="32"/>
          <w:szCs w:val="32"/>
        </w:rPr>
        <w:t>月</w:t>
      </w:r>
      <w:r>
        <w:rPr>
          <w:rFonts w:hint="eastAsia" w:ascii="Times New Roman" w:hAnsi="Times New Roman" w:eastAsia="方正仿宋简体" w:cs="Times New Roman"/>
          <w:sz w:val="32"/>
          <w:szCs w:val="32"/>
          <w:lang w:val="en-US" w:eastAsia="zh-CN"/>
        </w:rPr>
        <w:t>5</w:t>
      </w:r>
      <w:r>
        <w:rPr>
          <w:rFonts w:hint="default" w:ascii="Times New Roman" w:hAnsi="Times New Roman" w:eastAsia="方正仿宋简体" w:cs="Times New Roman"/>
          <w:sz w:val="32"/>
          <w:szCs w:val="32"/>
        </w:rPr>
        <w:t>日印发</w:t>
      </w:r>
    </w:p>
    <w:p>
      <w:pPr>
        <w:keepNext w:val="0"/>
        <w:keepLines w:val="0"/>
        <w:pageBreakBefore w:val="0"/>
        <w:widowControl w:val="0"/>
        <w:kinsoku/>
        <w:wordWrap/>
        <w:overflowPunct/>
        <w:topLinePunct w:val="0"/>
        <w:autoSpaceDE/>
        <w:autoSpaceDN/>
        <w:bidi w:val="0"/>
        <w:adjustRightInd/>
        <w:snapToGrid/>
        <w:spacing w:line="620" w:lineRule="exact"/>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pPr>
    </w:p>
    <w:p>
      <w:pPr>
        <w:keepNext w:val="0"/>
        <w:keepLines w:val="0"/>
        <w:pageBreakBefore w:val="0"/>
        <w:widowControl w:val="0"/>
        <w:kinsoku/>
        <w:wordWrap/>
        <w:overflowPunct/>
        <w:topLinePunct w:val="0"/>
        <w:autoSpaceDE/>
        <w:autoSpaceDN/>
        <w:bidi w:val="0"/>
        <w:adjustRightInd/>
        <w:snapToGrid/>
        <w:spacing w:line="620" w:lineRule="exact"/>
        <w:jc w:val="both"/>
        <w:textAlignment w:val="baseline"/>
        <w:rPr>
          <w:rFonts w:hint="default" w:ascii="Times New Roman" w:hAnsi="Times New Roman" w:eastAsia="仿宋_GB2312" w:cs="Times New Roman"/>
          <w:snapToGrid w:val="0"/>
          <w:color w:val="auto"/>
          <w:spacing w:val="0"/>
          <w:kern w:val="0"/>
          <w:position w:val="0"/>
          <w:sz w:val="32"/>
          <w:szCs w:val="32"/>
          <w:lang w:val="en-US" w:eastAsia="en-US" w:bidi="ar-SA"/>
        </w:rPr>
        <w:sectPr>
          <w:pgSz w:w="12081" w:h="16940"/>
          <w:pgMar w:top="1984" w:right="1587" w:bottom="1814" w:left="1587" w:header="0" w:footer="1417" w:gutter="0"/>
          <w:cols w:space="0" w:num="1"/>
          <w:rtlGutter w:val="0"/>
          <w:docGrid w:linePitch="0" w:charSpace="0"/>
        </w:sectPr>
      </w:pPr>
    </w:p>
    <w:p>
      <w:pPr>
        <w:spacing w:before="52" w:line="227" w:lineRule="auto"/>
        <w:rPr>
          <w:rFonts w:hint="default" w:ascii="Times New Roman" w:hAnsi="Times New Roman" w:eastAsia="黑体" w:cs="Times New Roman"/>
          <w:spacing w:val="8"/>
          <w:sz w:val="32"/>
          <w:szCs w:val="32"/>
        </w:rPr>
      </w:pPr>
      <w:r>
        <w:rPr>
          <w:rFonts w:hint="default" w:ascii="Times New Roman" w:hAnsi="Times New Roman" w:eastAsia="黑体" w:cs="Times New Roman"/>
          <w:spacing w:val="8"/>
          <w:sz w:val="32"/>
          <w:szCs w:val="32"/>
        </w:rPr>
        <w:t>附件1</w:t>
      </w:r>
    </w:p>
    <w:p>
      <w:pPr>
        <w:spacing w:before="52" w:line="227" w:lineRule="auto"/>
        <w:rPr>
          <w:rFonts w:hint="default" w:ascii="Times New Roman" w:hAnsi="Times New Roman" w:eastAsia="黑体" w:cs="Times New Roman"/>
          <w:spacing w:val="8"/>
          <w:sz w:val="32"/>
          <w:szCs w:val="32"/>
        </w:rPr>
      </w:pPr>
    </w:p>
    <w:p>
      <w:pPr>
        <w:spacing w:before="161" w:line="219" w:lineRule="auto"/>
        <w:jc w:val="center"/>
        <w:rPr>
          <w:rFonts w:hint="eastAsia" w:ascii="方正大标宋简体" w:hAnsi="方正大标宋简体" w:eastAsia="方正大标宋简体" w:cs="方正大标宋简体"/>
          <w:b w:val="0"/>
          <w:bCs w:val="0"/>
          <w:spacing w:val="0"/>
          <w:sz w:val="40"/>
          <w:szCs w:val="40"/>
        </w:rPr>
      </w:pPr>
      <w:r>
        <w:rPr>
          <w:rFonts w:hint="eastAsia" w:ascii="方正大标宋简体" w:hAnsi="方正大标宋简体" w:eastAsia="方正大标宋简体" w:cs="方正大标宋简体"/>
          <w:b w:val="0"/>
          <w:bCs w:val="0"/>
          <w:spacing w:val="0"/>
          <w:sz w:val="40"/>
          <w:szCs w:val="40"/>
        </w:rPr>
        <w:t>2024年中央财政衔接推进乡村振兴补助资金分配表</w:t>
      </w:r>
    </w:p>
    <w:p>
      <w:pPr>
        <w:spacing w:before="181" w:line="220" w:lineRule="auto"/>
        <w:jc w:val="center"/>
        <w:rPr>
          <w:rFonts w:hint="eastAsia" w:asciiTheme="minorEastAsia" w:hAnsiTheme="minorEastAsia" w:eastAsiaTheme="minorEastAsia" w:cstheme="minorEastAsia"/>
          <w:sz w:val="21"/>
          <w:szCs w:val="21"/>
        </w:rPr>
      </w:pPr>
      <w:r>
        <w:rPr>
          <w:rFonts w:hint="eastAsia" w:asciiTheme="minorEastAsia" w:hAnsiTheme="minorEastAsia" w:eastAsiaTheme="minorEastAsia" w:cstheme="minorEastAsia"/>
          <w:spacing w:val="-7"/>
          <w:sz w:val="21"/>
          <w:szCs w:val="21"/>
          <w:lang w:val="en-US" w:eastAsia="zh-CN"/>
        </w:rPr>
        <w:t xml:space="preserve">                                                                                                                    </w:t>
      </w:r>
      <w:r>
        <w:rPr>
          <w:rFonts w:hint="eastAsia" w:asciiTheme="minorEastAsia" w:hAnsiTheme="minorEastAsia" w:eastAsiaTheme="minorEastAsia" w:cstheme="minorEastAsia"/>
          <w:spacing w:val="-7"/>
          <w:sz w:val="21"/>
          <w:szCs w:val="21"/>
        </w:rPr>
        <w:t>单位：万元</w:t>
      </w:r>
    </w:p>
    <w:tbl>
      <w:tblPr>
        <w:tblStyle w:val="5"/>
        <w:tblpPr w:leftFromText="180" w:rightFromText="180" w:vertAnchor="text" w:horzAnchor="page" w:tblpX="582" w:tblpY="258"/>
        <w:tblOverlap w:val="never"/>
        <w:tblW w:w="15681"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5"/>
        <w:gridCol w:w="660"/>
        <w:gridCol w:w="683"/>
        <w:gridCol w:w="652"/>
        <w:gridCol w:w="660"/>
        <w:gridCol w:w="690"/>
        <w:gridCol w:w="735"/>
        <w:gridCol w:w="645"/>
        <w:gridCol w:w="870"/>
        <w:gridCol w:w="600"/>
        <w:gridCol w:w="735"/>
        <w:gridCol w:w="660"/>
        <w:gridCol w:w="690"/>
        <w:gridCol w:w="675"/>
        <w:gridCol w:w="435"/>
        <w:gridCol w:w="375"/>
        <w:gridCol w:w="499"/>
        <w:gridCol w:w="442"/>
        <w:gridCol w:w="540"/>
        <w:gridCol w:w="439"/>
        <w:gridCol w:w="11"/>
        <w:gridCol w:w="450"/>
        <w:gridCol w:w="480"/>
        <w:gridCol w:w="439"/>
        <w:gridCol w:w="11"/>
        <w:gridCol w:w="525"/>
        <w:gridCol w:w="435"/>
        <w:gridCol w:w="529"/>
        <w:gridCol w:w="11"/>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gridAfter w:val="1"/>
          <w:wAfter w:w="11" w:type="dxa"/>
          <w:trHeight w:val="595" w:hRule="atLeast"/>
        </w:trPr>
        <w:tc>
          <w:tcPr>
            <w:tcW w:w="110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市县</w:t>
            </w: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合计</w:t>
            </w:r>
          </w:p>
        </w:tc>
        <w:tc>
          <w:tcPr>
            <w:tcW w:w="68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提前下达</w:t>
            </w:r>
          </w:p>
        </w:tc>
        <w:tc>
          <w:tcPr>
            <w:tcW w:w="65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本次下达</w:t>
            </w:r>
          </w:p>
        </w:tc>
        <w:tc>
          <w:tcPr>
            <w:tcW w:w="6960" w:type="dxa"/>
            <w:gridSpan w:val="10"/>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巩固拓展脱贫攻坚成果和乡村振兴任务</w:t>
            </w:r>
          </w:p>
        </w:tc>
        <w:tc>
          <w:tcPr>
            <w:tcW w:w="130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少数民族发展任务</w:t>
            </w:r>
          </w:p>
        </w:tc>
        <w:tc>
          <w:tcPr>
            <w:tcW w:w="1421"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以工代赈任务</w:t>
            </w:r>
          </w:p>
        </w:tc>
        <w:tc>
          <w:tcPr>
            <w:tcW w:w="138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欠发达国有农场巩固提升任务</w:t>
            </w:r>
          </w:p>
        </w:tc>
        <w:tc>
          <w:tcPr>
            <w:tcW w:w="1500" w:type="dxa"/>
            <w:gridSpan w:val="4"/>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欠发达国有林场巩固提升任务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19" w:hRule="atLeast"/>
        </w:trPr>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小计</w:t>
            </w: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提前下达</w:t>
            </w:r>
          </w:p>
        </w:tc>
        <w:tc>
          <w:tcPr>
            <w:tcW w:w="7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本次下达</w:t>
            </w:r>
          </w:p>
        </w:tc>
        <w:tc>
          <w:tcPr>
            <w:tcW w:w="4875" w:type="dxa"/>
            <w:gridSpan w:val="7"/>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其中</w:t>
            </w: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小计</w:t>
            </w:r>
          </w:p>
        </w:tc>
        <w:tc>
          <w:tcPr>
            <w:tcW w:w="3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提前下达</w:t>
            </w:r>
          </w:p>
        </w:tc>
        <w:tc>
          <w:tcPr>
            <w:tcW w:w="499"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本次下达</w:t>
            </w:r>
          </w:p>
        </w:tc>
        <w:tc>
          <w:tcPr>
            <w:tcW w:w="442"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小计</w:t>
            </w:r>
          </w:p>
        </w:tc>
        <w:tc>
          <w:tcPr>
            <w:tcW w:w="54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提前下达</w:t>
            </w:r>
          </w:p>
        </w:tc>
        <w:tc>
          <w:tcPr>
            <w:tcW w:w="45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本次下达</w:t>
            </w:r>
          </w:p>
        </w:tc>
        <w:tc>
          <w:tcPr>
            <w:tcW w:w="45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小计</w:t>
            </w:r>
          </w:p>
        </w:tc>
        <w:tc>
          <w:tcPr>
            <w:tcW w:w="48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提前下达</w:t>
            </w:r>
          </w:p>
        </w:tc>
        <w:tc>
          <w:tcPr>
            <w:tcW w:w="45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本次下达</w:t>
            </w:r>
          </w:p>
        </w:tc>
        <w:tc>
          <w:tcPr>
            <w:tcW w:w="52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小计</w:t>
            </w:r>
          </w:p>
        </w:tc>
        <w:tc>
          <w:tcPr>
            <w:tcW w:w="43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提前下达</w:t>
            </w:r>
          </w:p>
        </w:tc>
        <w:tc>
          <w:tcPr>
            <w:tcW w:w="540" w:type="dxa"/>
            <w:gridSpan w:val="2"/>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本次下达</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4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规划内的易地扶贫搬迁贴息补助</w:t>
            </w:r>
          </w:p>
        </w:tc>
        <w:tc>
          <w:tcPr>
            <w:tcW w:w="87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易地扶贫搬迁集中安置区后续扶持</w:t>
            </w:r>
          </w:p>
        </w:tc>
        <w:tc>
          <w:tcPr>
            <w:tcW w:w="1335"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发展新型农村集体经济</w:t>
            </w:r>
          </w:p>
        </w:tc>
        <w:tc>
          <w:tcPr>
            <w:tcW w:w="66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新型经营主体贷款贴息</w:t>
            </w:r>
          </w:p>
        </w:tc>
        <w:tc>
          <w:tcPr>
            <w:tcW w:w="690"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资金绩效评价奖励</w:t>
            </w:r>
          </w:p>
        </w:tc>
        <w:tc>
          <w:tcPr>
            <w:tcW w:w="67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接受国家考核评估</w:t>
            </w: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5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5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8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5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7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4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87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金额</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bCs/>
                <w:i w:val="0"/>
                <w:iCs w:val="0"/>
                <w:color w:val="000000"/>
                <w:sz w:val="20"/>
                <w:szCs w:val="20"/>
                <w:u w:val="none"/>
              </w:rPr>
            </w:pPr>
            <w:r>
              <w:rPr>
                <w:rFonts w:hint="eastAsia" w:ascii="宋体" w:hAnsi="宋体" w:eastAsia="宋体" w:cs="宋体"/>
                <w:b/>
                <w:bCs/>
                <w:i w:val="0"/>
                <w:iCs w:val="0"/>
                <w:snapToGrid w:val="0"/>
                <w:color w:val="000000"/>
                <w:kern w:val="0"/>
                <w:sz w:val="20"/>
                <w:szCs w:val="20"/>
                <w:u w:val="none"/>
                <w:lang w:val="en-US" w:eastAsia="zh-CN" w:bidi="ar"/>
              </w:rPr>
              <w:t>扶持村个数</w:t>
            </w:r>
          </w:p>
        </w:tc>
        <w:tc>
          <w:tcPr>
            <w:tcW w:w="66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9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6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37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99"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42"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54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5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80"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5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52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43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c>
          <w:tcPr>
            <w:tcW w:w="540"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bCs/>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合计</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921</w:t>
            </w: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667</w:t>
            </w:r>
          </w:p>
        </w:tc>
        <w:tc>
          <w:tcPr>
            <w:tcW w:w="6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254</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921</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667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254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27</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5</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150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3</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i w:val="0"/>
                <w:iCs w:val="0"/>
                <w:snapToGrid w:val="0"/>
                <w:color w:val="000000"/>
                <w:kern w:val="0"/>
                <w:sz w:val="20"/>
                <w:szCs w:val="20"/>
                <w:u w:val="none"/>
                <w:lang w:val="en-US" w:eastAsia="zh-CN" w:bidi="ar"/>
              </w:rPr>
            </w:pPr>
            <w:r>
              <w:rPr>
                <w:rFonts w:hint="eastAsia" w:ascii="宋体" w:hAnsi="宋体" w:eastAsia="宋体" w:cs="宋体"/>
                <w:i w:val="0"/>
                <w:iCs w:val="0"/>
                <w:snapToGrid w:val="0"/>
                <w:color w:val="000000"/>
                <w:kern w:val="0"/>
                <w:sz w:val="20"/>
                <w:szCs w:val="20"/>
                <w:u w:val="none"/>
                <w:lang w:val="en-US" w:eastAsia="zh-CN" w:bidi="ar"/>
              </w:rPr>
              <w:t>240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3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9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随县（大洪山）</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250</w:t>
            </w: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130</w:t>
            </w:r>
          </w:p>
        </w:tc>
        <w:tc>
          <w:tcPr>
            <w:tcW w:w="6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120</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250</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130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120</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15</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3</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50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120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3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9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90" w:hRule="atLeast"/>
        </w:trPr>
        <w:tc>
          <w:tcPr>
            <w:tcW w:w="110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曾都区（随州高新区）</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671</w:t>
            </w:r>
          </w:p>
        </w:tc>
        <w:tc>
          <w:tcPr>
            <w:tcW w:w="68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537</w:t>
            </w:r>
          </w:p>
        </w:tc>
        <w:tc>
          <w:tcPr>
            <w:tcW w:w="65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134</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671</w:t>
            </w: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537</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134</w:t>
            </w:r>
          </w:p>
        </w:tc>
        <w:tc>
          <w:tcPr>
            <w:tcW w:w="64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12</w:t>
            </w:r>
          </w:p>
        </w:tc>
        <w:tc>
          <w:tcPr>
            <w:tcW w:w="87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60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100</w:t>
            </w:r>
          </w:p>
        </w:tc>
        <w:tc>
          <w:tcPr>
            <w:tcW w:w="73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2</w:t>
            </w:r>
          </w:p>
        </w:tc>
        <w:tc>
          <w:tcPr>
            <w:tcW w:w="66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69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i w:val="0"/>
                <w:iCs w:val="0"/>
                <w:color w:val="000000"/>
                <w:sz w:val="20"/>
                <w:szCs w:val="20"/>
                <w:u w:val="none"/>
              </w:rPr>
            </w:pPr>
            <w:r>
              <w:rPr>
                <w:rFonts w:hint="eastAsia" w:ascii="宋体" w:hAnsi="宋体" w:eastAsia="宋体" w:cs="宋体"/>
                <w:i w:val="0"/>
                <w:iCs w:val="0"/>
                <w:snapToGrid w:val="0"/>
                <w:color w:val="000000"/>
                <w:kern w:val="0"/>
                <w:sz w:val="20"/>
                <w:szCs w:val="20"/>
                <w:u w:val="none"/>
                <w:lang w:val="en-US" w:eastAsia="zh-CN" w:bidi="ar"/>
              </w:rPr>
              <w:t>120</w:t>
            </w:r>
          </w:p>
        </w:tc>
        <w:tc>
          <w:tcPr>
            <w:tcW w:w="6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37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99"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42"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8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5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2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435"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c>
          <w:tcPr>
            <w:tcW w:w="540"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i w:val="0"/>
                <w:iCs w:val="0"/>
                <w:color w:val="000000"/>
                <w:sz w:val="20"/>
                <w:szCs w:val="20"/>
                <w:u w:val="none"/>
              </w:rPr>
            </w:pPr>
          </w:p>
        </w:tc>
      </w:tr>
    </w:tbl>
    <w:p>
      <w:pPr>
        <w:spacing w:line="27" w:lineRule="exact"/>
        <w:rPr>
          <w:rFonts w:hint="eastAsia" w:asciiTheme="minorEastAsia" w:hAnsiTheme="minorEastAsia" w:eastAsiaTheme="minorEastAsia" w:cstheme="minorEastAsia"/>
          <w:sz w:val="21"/>
          <w:szCs w:val="21"/>
        </w:rPr>
      </w:pPr>
    </w:p>
    <w:p>
      <w:pPr>
        <w:rPr>
          <w:rFonts w:ascii="Arial" w:hAnsi="Arial" w:eastAsia="Arial" w:cs="Arial"/>
          <w:sz w:val="21"/>
          <w:szCs w:val="21"/>
        </w:rPr>
        <w:sectPr>
          <w:footerReference r:id="rId5" w:type="default"/>
          <w:pgSz w:w="16940" w:h="12081" w:orient="landscape"/>
          <w:pgMar w:top="1984" w:right="1587" w:bottom="1814" w:left="1587" w:header="0" w:footer="1417" w:gutter="0"/>
          <w:cols w:space="0" w:num="1"/>
          <w:rtlGutter w:val="0"/>
          <w:docGrid w:linePitch="0" w:charSpace="0"/>
        </w:sectPr>
      </w:pPr>
    </w:p>
    <w:p>
      <w:pPr>
        <w:spacing w:before="52" w:line="227" w:lineRule="auto"/>
        <w:rPr>
          <w:rFonts w:hint="eastAsia" w:ascii="Times New Roman" w:hAnsi="Times New Roman" w:eastAsia="黑体" w:cs="Times New Roman"/>
          <w:spacing w:val="0"/>
          <w:sz w:val="32"/>
          <w:szCs w:val="32"/>
        </w:rPr>
      </w:pPr>
      <w:r>
        <w:rPr>
          <w:rFonts w:hint="eastAsia" w:ascii="Times New Roman" w:hAnsi="Times New Roman" w:eastAsia="黑体" w:cs="Times New Roman"/>
          <w:spacing w:val="0"/>
          <w:sz w:val="32"/>
          <w:szCs w:val="32"/>
        </w:rPr>
        <w:t>附 件 2</w:t>
      </w:r>
    </w:p>
    <w:p>
      <w:pPr>
        <w:spacing w:before="161" w:line="219" w:lineRule="auto"/>
        <w:jc w:val="center"/>
        <w:rPr>
          <w:rFonts w:hint="eastAsia" w:ascii="方正大标宋简体" w:hAnsi="方正大标宋简体" w:eastAsia="方正大标宋简体" w:cs="方正大标宋简体"/>
          <w:b w:val="0"/>
          <w:bCs w:val="0"/>
          <w:spacing w:val="0"/>
          <w:sz w:val="40"/>
          <w:szCs w:val="40"/>
        </w:rPr>
      </w:pPr>
      <w:r>
        <w:rPr>
          <w:rFonts w:hint="eastAsia" w:ascii="方正大标宋简体" w:hAnsi="方正大标宋简体" w:eastAsia="方正大标宋简体" w:cs="方正大标宋简体"/>
          <w:b w:val="0"/>
          <w:bCs w:val="0"/>
          <w:spacing w:val="0"/>
          <w:sz w:val="40"/>
          <w:szCs w:val="40"/>
          <w:lang w:val="en-US" w:eastAsia="zh-CN"/>
        </w:rPr>
        <w:t>衔接</w:t>
      </w:r>
      <w:r>
        <w:rPr>
          <w:rFonts w:hint="eastAsia" w:ascii="方正大标宋简体" w:hAnsi="方正大标宋简体" w:eastAsia="方正大标宋简体" w:cs="方正大标宋简体"/>
          <w:b w:val="0"/>
          <w:bCs w:val="0"/>
          <w:spacing w:val="0"/>
          <w:sz w:val="40"/>
          <w:szCs w:val="40"/>
        </w:rPr>
        <w:t>资金区域绩效目标备案表</w:t>
      </w:r>
    </w:p>
    <w:p>
      <w:pPr>
        <w:spacing w:before="203" w:line="219" w:lineRule="auto"/>
        <w:ind w:left="3684"/>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pacing w:val="5"/>
          <w:sz w:val="21"/>
          <w:szCs w:val="21"/>
          <w:lang w:eastAsia="zh-CN"/>
        </w:rPr>
        <w:t>（</w:t>
      </w:r>
      <w:r>
        <w:rPr>
          <w:rFonts w:hint="eastAsia" w:asciiTheme="minorEastAsia" w:hAnsiTheme="minorEastAsia" w:eastAsiaTheme="minorEastAsia" w:cstheme="minorEastAsia"/>
          <w:spacing w:val="5"/>
          <w:sz w:val="21"/>
          <w:szCs w:val="21"/>
        </w:rPr>
        <w:t>2024年度</w:t>
      </w:r>
      <w:r>
        <w:rPr>
          <w:rFonts w:hint="eastAsia" w:asciiTheme="minorEastAsia" w:hAnsiTheme="minorEastAsia" w:eastAsiaTheme="minorEastAsia" w:cstheme="minorEastAsia"/>
          <w:spacing w:val="5"/>
          <w:sz w:val="21"/>
          <w:szCs w:val="21"/>
          <w:lang w:eastAsia="zh-CN"/>
        </w:rPr>
        <w:t>）</w:t>
      </w:r>
    </w:p>
    <w:p>
      <w:pPr>
        <w:spacing w:line="29" w:lineRule="exact"/>
        <w:rPr>
          <w:rFonts w:hint="eastAsia" w:asciiTheme="minorEastAsia" w:hAnsiTheme="minorEastAsia" w:eastAsiaTheme="minorEastAsia" w:cstheme="minorEastAsia"/>
          <w:sz w:val="18"/>
          <w:szCs w:val="18"/>
        </w:rPr>
      </w:pPr>
    </w:p>
    <w:tbl>
      <w:tblPr>
        <w:tblStyle w:val="7"/>
        <w:tblW w:w="9196"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1295"/>
        <w:gridCol w:w="1553"/>
        <w:gridCol w:w="1575"/>
        <w:gridCol w:w="3766"/>
        <w:gridCol w:w="1007"/>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资金名称</w:t>
            </w:r>
          </w:p>
        </w:tc>
        <w:tc>
          <w:tcPr>
            <w:tcW w:w="7901" w:type="dxa"/>
            <w:gridSpan w:val="4"/>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b w:val="0"/>
                <w:bCs w:val="0"/>
                <w:spacing w:val="-3"/>
                <w:sz w:val="20"/>
                <w:szCs w:val="20"/>
              </w:rPr>
              <w:t>财政衔接推进乡村振兴补助资金</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3"/>
                <w:sz w:val="20"/>
                <w:szCs w:val="20"/>
              </w:rPr>
              <w:t>地方财政部门</w:t>
            </w:r>
          </w:p>
        </w:tc>
        <w:tc>
          <w:tcPr>
            <w:tcW w:w="1553"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**县财政局</w:t>
            </w:r>
          </w:p>
        </w:tc>
        <w:tc>
          <w:tcPr>
            <w:tcW w:w="157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3"/>
                <w:sz w:val="20"/>
                <w:szCs w:val="20"/>
              </w:rPr>
              <w:t>地方主管部门</w:t>
            </w:r>
          </w:p>
        </w:tc>
        <w:tc>
          <w:tcPr>
            <w:tcW w:w="4773" w:type="dxa"/>
            <w:gridSpan w:val="2"/>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1"/>
                <w:sz w:val="20"/>
                <w:szCs w:val="20"/>
              </w:rPr>
              <w:t>**县乡村振兴局等</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restart"/>
            <w:tcBorders>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1"/>
                <w:sz w:val="20"/>
                <w:szCs w:val="20"/>
              </w:rPr>
              <w:t>资金情况</w:t>
            </w:r>
          </w:p>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lang w:eastAsia="zh-CN"/>
              </w:rPr>
            </w:pPr>
            <w:r>
              <w:rPr>
                <w:rFonts w:hint="eastAsia" w:ascii="宋体" w:hAnsi="宋体" w:eastAsia="宋体" w:cs="宋体"/>
                <w:spacing w:val="9"/>
                <w:sz w:val="20"/>
                <w:szCs w:val="20"/>
                <w:lang w:eastAsia="zh-CN"/>
              </w:rPr>
              <w:t>（</w:t>
            </w:r>
            <w:r>
              <w:rPr>
                <w:rFonts w:hint="eastAsia" w:ascii="宋体" w:hAnsi="宋体" w:eastAsia="宋体" w:cs="宋体"/>
                <w:spacing w:val="9"/>
                <w:sz w:val="20"/>
                <w:szCs w:val="20"/>
              </w:rPr>
              <w:t>万元</w:t>
            </w:r>
            <w:r>
              <w:rPr>
                <w:rFonts w:hint="eastAsia" w:ascii="宋体" w:hAnsi="宋体" w:eastAsia="宋体" w:cs="宋体"/>
                <w:spacing w:val="9"/>
                <w:sz w:val="20"/>
                <w:szCs w:val="20"/>
                <w:lang w:eastAsia="zh-CN"/>
              </w:rPr>
              <w:t>）</w:t>
            </w:r>
          </w:p>
        </w:tc>
        <w:tc>
          <w:tcPr>
            <w:tcW w:w="1553"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z w:val="20"/>
                <w:szCs w:val="20"/>
              </w:rPr>
              <w:t>年度金额：</w:t>
            </w:r>
          </w:p>
        </w:tc>
        <w:tc>
          <w:tcPr>
            <w:tcW w:w="6348" w:type="dxa"/>
            <w:gridSpan w:val="3"/>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1"/>
                <w:sz w:val="20"/>
                <w:szCs w:val="20"/>
              </w:rPr>
              <w:t>其中：中央资金</w:t>
            </w:r>
          </w:p>
        </w:tc>
        <w:tc>
          <w:tcPr>
            <w:tcW w:w="6348" w:type="dxa"/>
            <w:gridSpan w:val="3"/>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省级资金</w:t>
            </w:r>
          </w:p>
        </w:tc>
        <w:tc>
          <w:tcPr>
            <w:tcW w:w="6348" w:type="dxa"/>
            <w:gridSpan w:val="3"/>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年度目标</w:t>
            </w:r>
          </w:p>
        </w:tc>
        <w:tc>
          <w:tcPr>
            <w:tcW w:w="7901" w:type="dxa"/>
            <w:gridSpan w:val="4"/>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3"/>
                <w:sz w:val="20"/>
                <w:szCs w:val="20"/>
              </w:rPr>
              <w:t>一级指标</w:t>
            </w:r>
          </w:p>
        </w:tc>
        <w:tc>
          <w:tcPr>
            <w:tcW w:w="157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4"/>
                <w:sz w:val="20"/>
                <w:szCs w:val="20"/>
              </w:rPr>
              <w:t>二级指标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4"/>
                <w:sz w:val="20"/>
                <w:szCs w:val="20"/>
              </w:rPr>
              <w:t>三级指标</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4"/>
                <w:sz w:val="20"/>
                <w:szCs w:val="20"/>
              </w:rPr>
              <w:t>指标值</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restart"/>
            <w:tcBorders>
              <w:bottom w:val="nil"/>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绩效指标</w:t>
            </w:r>
          </w:p>
        </w:tc>
        <w:tc>
          <w:tcPr>
            <w:tcW w:w="1553" w:type="dxa"/>
            <w:vMerge w:val="restart"/>
            <w:tcBorders>
              <w:bottom w:val="nil"/>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产出指标</w:t>
            </w:r>
          </w:p>
        </w:tc>
        <w:tc>
          <w:tcPr>
            <w:tcW w:w="1575" w:type="dxa"/>
            <w:vMerge w:val="restart"/>
            <w:tcBorders>
              <w:bottom w:val="nil"/>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4"/>
                <w:sz w:val="20"/>
                <w:szCs w:val="20"/>
              </w:rPr>
              <w:t>数量指标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2"/>
                <w:sz w:val="20"/>
                <w:szCs w:val="20"/>
              </w:rPr>
              <w:t>支持产业发展项目数量</w:t>
            </w:r>
            <w:r>
              <w:rPr>
                <w:rFonts w:hint="eastAsia" w:ascii="宋体" w:hAnsi="宋体" w:eastAsia="宋体" w:cs="宋体"/>
                <w:b w:val="0"/>
                <w:bCs w:val="0"/>
                <w:spacing w:val="2"/>
                <w:sz w:val="20"/>
                <w:szCs w:val="20"/>
                <w:lang w:eastAsia="zh-CN"/>
              </w:rPr>
              <w:t>（</w:t>
            </w:r>
            <w:r>
              <w:rPr>
                <w:rFonts w:hint="eastAsia" w:ascii="宋体" w:hAnsi="宋体" w:eastAsia="宋体" w:cs="宋体"/>
                <w:b w:val="0"/>
                <w:bCs w:val="0"/>
                <w:spacing w:val="2"/>
                <w:sz w:val="20"/>
                <w:szCs w:val="20"/>
              </w:rPr>
              <w:t>≥**个</w:t>
            </w:r>
            <w:r>
              <w:rPr>
                <w:rFonts w:hint="eastAsia" w:ascii="宋体" w:hAnsi="宋体" w:eastAsia="宋体" w:cs="宋体"/>
                <w:b w:val="0"/>
                <w:bCs w:val="0"/>
                <w:spacing w:val="2"/>
                <w:sz w:val="20"/>
                <w:szCs w:val="20"/>
                <w:lang w:eastAsia="zh-CN"/>
              </w:rPr>
              <w:t>）</w:t>
            </w:r>
          </w:p>
        </w:tc>
        <w:tc>
          <w:tcPr>
            <w:tcW w:w="100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1"/>
                <w:sz w:val="20"/>
                <w:szCs w:val="20"/>
              </w:rPr>
              <w:t>支持农村基础设施建设数量</w:t>
            </w:r>
            <w:r>
              <w:rPr>
                <w:rFonts w:hint="eastAsia" w:ascii="宋体" w:hAnsi="宋体" w:eastAsia="宋体" w:cs="宋体"/>
                <w:b w:val="0"/>
                <w:bCs w:val="0"/>
                <w:spacing w:val="1"/>
                <w:sz w:val="20"/>
                <w:szCs w:val="20"/>
                <w:lang w:eastAsia="zh-CN"/>
              </w:rPr>
              <w:t>（</w:t>
            </w:r>
            <w:r>
              <w:rPr>
                <w:rFonts w:hint="eastAsia" w:ascii="宋体" w:hAnsi="宋体" w:eastAsia="宋体" w:cs="宋体"/>
                <w:b w:val="0"/>
                <w:bCs w:val="0"/>
                <w:spacing w:val="1"/>
                <w:sz w:val="20"/>
                <w:szCs w:val="20"/>
              </w:rPr>
              <w:t>≥**个/处</w:t>
            </w:r>
            <w:r>
              <w:rPr>
                <w:rFonts w:hint="eastAsia" w:ascii="宋体" w:hAnsi="宋体" w:eastAsia="宋体" w:cs="宋体"/>
                <w:b w:val="0"/>
                <w:bCs w:val="0"/>
                <w:spacing w:val="1"/>
                <w:sz w:val="20"/>
                <w:szCs w:val="20"/>
                <w:lang w:eastAsia="zh-CN"/>
              </w:rPr>
              <w:t>）</w:t>
            </w:r>
          </w:p>
        </w:tc>
        <w:tc>
          <w:tcPr>
            <w:tcW w:w="100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pacing w:val="2"/>
                <w:sz w:val="20"/>
                <w:szCs w:val="20"/>
              </w:rPr>
            </w:pPr>
            <w:r>
              <w:rPr>
                <w:rFonts w:hint="eastAsia" w:ascii="宋体" w:hAnsi="宋体" w:eastAsia="宋体" w:cs="宋体"/>
                <w:b w:val="0"/>
                <w:bCs w:val="0"/>
                <w:spacing w:val="2"/>
                <w:sz w:val="20"/>
                <w:szCs w:val="20"/>
              </w:rPr>
              <w:t>支持脱贫人口稳定就业人数</w:t>
            </w:r>
            <w:r>
              <w:rPr>
                <w:rFonts w:hint="eastAsia" w:ascii="宋体" w:hAnsi="宋体" w:eastAsia="宋体" w:cs="宋体"/>
                <w:b w:val="0"/>
                <w:bCs w:val="0"/>
                <w:spacing w:val="2"/>
                <w:sz w:val="20"/>
                <w:szCs w:val="20"/>
                <w:lang w:eastAsia="zh-CN"/>
              </w:rPr>
              <w:t>（</w:t>
            </w:r>
            <w:r>
              <w:rPr>
                <w:rFonts w:hint="eastAsia" w:ascii="宋体" w:hAnsi="宋体" w:eastAsia="宋体" w:cs="宋体"/>
                <w:b w:val="0"/>
                <w:bCs w:val="0"/>
                <w:spacing w:val="2"/>
                <w:sz w:val="20"/>
                <w:szCs w:val="20"/>
              </w:rPr>
              <w:t>≥**人</w:t>
            </w:r>
            <w:r>
              <w:rPr>
                <w:rFonts w:hint="eastAsia" w:ascii="宋体" w:hAnsi="宋体" w:eastAsia="宋体" w:cs="宋体"/>
                <w:b w:val="0"/>
                <w:bCs w:val="0"/>
                <w:spacing w:val="2"/>
                <w:sz w:val="20"/>
                <w:szCs w:val="20"/>
                <w:lang w:eastAsia="zh-CN"/>
              </w:rPr>
              <w:t>）</w:t>
            </w:r>
          </w:p>
        </w:tc>
        <w:tc>
          <w:tcPr>
            <w:tcW w:w="100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宋体" w:hAnsi="宋体" w:eastAsia="宋体" w:cs="宋体"/>
                <w:b w:val="0"/>
                <w:bCs w:val="0"/>
                <w:sz w:val="20"/>
                <w:szCs w:val="20"/>
                <w:lang w:val="en-US" w:eastAsia="zh-CN"/>
              </w:rPr>
            </w:pPr>
            <w:r>
              <w:rPr>
                <w:rFonts w:hint="eastAsia" w:cs="宋体"/>
                <w:b w:val="0"/>
                <w:bCs w:val="0"/>
                <w:sz w:val="20"/>
                <w:szCs w:val="20"/>
                <w:lang w:val="en-US" w:eastAsia="zh-CN"/>
              </w:rPr>
              <w:t>支持发展新型农村集体经济村数（个）</w:t>
            </w:r>
          </w:p>
        </w:tc>
        <w:tc>
          <w:tcPr>
            <w:tcW w:w="100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2"/>
                <w:sz w:val="20"/>
                <w:szCs w:val="20"/>
              </w:rPr>
              <w:t>支持农作物种植面积</w:t>
            </w:r>
            <w:r>
              <w:rPr>
                <w:rFonts w:hint="eastAsia" w:ascii="宋体" w:hAnsi="宋体" w:eastAsia="宋体" w:cs="宋体"/>
                <w:b w:val="0"/>
                <w:bCs w:val="0"/>
                <w:spacing w:val="2"/>
                <w:sz w:val="20"/>
                <w:szCs w:val="20"/>
                <w:lang w:eastAsia="zh-CN"/>
              </w:rPr>
              <w:t>（</w:t>
            </w:r>
            <w:r>
              <w:rPr>
                <w:rFonts w:hint="eastAsia" w:ascii="宋体" w:hAnsi="宋体" w:eastAsia="宋体" w:cs="宋体"/>
                <w:b w:val="0"/>
                <w:bCs w:val="0"/>
                <w:spacing w:val="2"/>
                <w:sz w:val="20"/>
                <w:szCs w:val="20"/>
              </w:rPr>
              <w:t>≥**亩</w:t>
            </w:r>
            <w:r>
              <w:rPr>
                <w:rFonts w:hint="eastAsia" w:ascii="宋体" w:hAnsi="宋体" w:eastAsia="宋体" w:cs="宋体"/>
                <w:b w:val="0"/>
                <w:bCs w:val="0"/>
                <w:spacing w:val="2"/>
                <w:sz w:val="20"/>
                <w:szCs w:val="20"/>
                <w:lang w:eastAsia="zh-CN"/>
              </w:rPr>
              <w:t>）</w:t>
            </w:r>
          </w:p>
        </w:tc>
        <w:tc>
          <w:tcPr>
            <w:tcW w:w="100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2"/>
                <w:sz w:val="20"/>
                <w:szCs w:val="20"/>
              </w:rPr>
              <w:t>支持畜牧养殖数量</w:t>
            </w:r>
            <w:r>
              <w:rPr>
                <w:rFonts w:hint="eastAsia" w:ascii="宋体" w:hAnsi="宋体" w:eastAsia="宋体" w:cs="宋体"/>
                <w:b w:val="0"/>
                <w:bCs w:val="0"/>
                <w:spacing w:val="2"/>
                <w:sz w:val="20"/>
                <w:szCs w:val="20"/>
                <w:lang w:eastAsia="zh-CN"/>
              </w:rPr>
              <w:t>（</w:t>
            </w:r>
            <w:r>
              <w:rPr>
                <w:rFonts w:hint="eastAsia" w:ascii="宋体" w:hAnsi="宋体" w:eastAsia="宋体" w:cs="宋体"/>
                <w:b w:val="0"/>
                <w:bCs w:val="0"/>
                <w:spacing w:val="2"/>
                <w:sz w:val="20"/>
                <w:szCs w:val="20"/>
              </w:rPr>
              <w:t>≥**头/只</w:t>
            </w:r>
            <w:r>
              <w:rPr>
                <w:rFonts w:hint="eastAsia" w:ascii="宋体" w:hAnsi="宋体" w:eastAsia="宋体" w:cs="宋体"/>
                <w:b w:val="0"/>
                <w:bCs w:val="0"/>
                <w:spacing w:val="2"/>
                <w:sz w:val="20"/>
                <w:szCs w:val="20"/>
                <w:lang w:eastAsia="zh-CN"/>
              </w:rPr>
              <w:t>）</w:t>
            </w:r>
          </w:p>
        </w:tc>
        <w:tc>
          <w:tcPr>
            <w:tcW w:w="1007" w:type="dxa"/>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restart"/>
            <w:tcBorders>
              <w:bottom w:val="nil"/>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4"/>
                <w:sz w:val="20"/>
                <w:szCs w:val="20"/>
              </w:rPr>
              <w:t>质量指标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2"/>
                <w:sz w:val="20"/>
                <w:szCs w:val="20"/>
              </w:rPr>
              <w:t>基础设施建设验收合格率</w:t>
            </w:r>
            <w:r>
              <w:rPr>
                <w:rFonts w:hint="eastAsia" w:ascii="宋体" w:hAnsi="宋体" w:eastAsia="宋体" w:cs="宋体"/>
                <w:b w:val="0"/>
                <w:bCs w:val="0"/>
                <w:spacing w:val="2"/>
                <w:sz w:val="20"/>
                <w:szCs w:val="20"/>
                <w:lang w:eastAsia="zh-CN"/>
              </w:rPr>
              <w:t>（</w:t>
            </w:r>
            <w:r>
              <w:rPr>
                <w:rFonts w:hint="eastAsia" w:ascii="宋体" w:hAnsi="宋体" w:eastAsia="宋体" w:cs="宋体"/>
                <w:b w:val="0"/>
                <w:bCs w:val="0"/>
                <w:spacing w:val="2"/>
                <w:sz w:val="20"/>
                <w:szCs w:val="20"/>
              </w:rPr>
              <w:t>≥**%</w:t>
            </w:r>
            <w:r>
              <w:rPr>
                <w:rFonts w:hint="eastAsia" w:ascii="宋体" w:hAnsi="宋体" w:eastAsia="宋体" w:cs="宋体"/>
                <w:b w:val="0"/>
                <w:bCs w:val="0"/>
                <w:spacing w:val="2"/>
                <w:sz w:val="20"/>
                <w:szCs w:val="20"/>
                <w:lang w:eastAsia="zh-CN"/>
              </w:rPr>
              <w:t>）</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5"/>
                <w:sz w:val="20"/>
                <w:szCs w:val="20"/>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3"/>
                <w:sz w:val="20"/>
                <w:szCs w:val="20"/>
              </w:rPr>
              <w:t>种养业成活率</w:t>
            </w:r>
            <w:r>
              <w:rPr>
                <w:rFonts w:hint="eastAsia" w:ascii="宋体" w:hAnsi="宋体" w:eastAsia="宋体" w:cs="宋体"/>
                <w:b w:val="0"/>
                <w:bCs w:val="0"/>
                <w:spacing w:val="3"/>
                <w:sz w:val="20"/>
                <w:szCs w:val="20"/>
                <w:lang w:eastAsia="zh-CN"/>
              </w:rPr>
              <w:t>（</w:t>
            </w:r>
            <w:r>
              <w:rPr>
                <w:rFonts w:hint="eastAsia" w:ascii="宋体" w:hAnsi="宋体" w:eastAsia="宋体" w:cs="宋体"/>
                <w:b w:val="0"/>
                <w:bCs w:val="0"/>
                <w:spacing w:val="3"/>
                <w:sz w:val="20"/>
                <w:szCs w:val="20"/>
              </w:rPr>
              <w:t>≥**%</w:t>
            </w:r>
            <w:r>
              <w:rPr>
                <w:rFonts w:hint="eastAsia" w:ascii="宋体" w:hAnsi="宋体" w:eastAsia="宋体" w:cs="宋体"/>
                <w:b w:val="0"/>
                <w:bCs w:val="0"/>
                <w:spacing w:val="3"/>
                <w:sz w:val="20"/>
                <w:szCs w:val="20"/>
                <w:lang w:eastAsia="zh-CN"/>
              </w:rPr>
              <w:t>）</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90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1"/>
                <w:sz w:val="20"/>
                <w:szCs w:val="20"/>
              </w:rPr>
              <w:t>时效指标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3"/>
                <w:sz w:val="20"/>
                <w:szCs w:val="20"/>
              </w:rPr>
              <w:t>项目完成及时率</w:t>
            </w:r>
            <w:r>
              <w:rPr>
                <w:rFonts w:hint="eastAsia" w:ascii="宋体" w:hAnsi="宋体" w:eastAsia="宋体" w:cs="宋体"/>
                <w:b w:val="0"/>
                <w:bCs w:val="0"/>
                <w:spacing w:val="3"/>
                <w:sz w:val="20"/>
                <w:szCs w:val="20"/>
                <w:lang w:eastAsia="zh-CN"/>
              </w:rPr>
              <w:t>（</w:t>
            </w:r>
            <w:r>
              <w:rPr>
                <w:rFonts w:hint="eastAsia" w:ascii="宋体" w:hAnsi="宋体" w:eastAsia="宋体" w:cs="宋体"/>
                <w:b w:val="0"/>
                <w:bCs w:val="0"/>
                <w:spacing w:val="3"/>
                <w:sz w:val="20"/>
                <w:szCs w:val="20"/>
              </w:rPr>
              <w:t>≥**%</w:t>
            </w:r>
            <w:r>
              <w:rPr>
                <w:rFonts w:hint="eastAsia" w:ascii="宋体" w:hAnsi="宋体" w:eastAsia="宋体" w:cs="宋体"/>
                <w:b w:val="0"/>
                <w:bCs w:val="0"/>
                <w:spacing w:val="3"/>
                <w:sz w:val="20"/>
                <w:szCs w:val="20"/>
                <w:lang w:eastAsia="zh-CN"/>
              </w:rPr>
              <w:t>）</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5"/>
                <w:sz w:val="20"/>
                <w:szCs w:val="20"/>
              </w:rPr>
              <w:t>100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restart"/>
            <w:tcBorders>
              <w:bottom w:val="nil"/>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3"/>
                <w:sz w:val="20"/>
                <w:szCs w:val="20"/>
              </w:rPr>
              <w:t>效益指标</w:t>
            </w:r>
          </w:p>
        </w:tc>
        <w:tc>
          <w:tcPr>
            <w:tcW w:w="157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经济效益指标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z w:val="20"/>
                <w:szCs w:val="20"/>
              </w:rPr>
              <w:t>困难群众经济收入</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稳步提高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社会效益指标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1"/>
                <w:sz w:val="20"/>
                <w:szCs w:val="20"/>
              </w:rPr>
              <w:t>基础设施条件</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持续改善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restart"/>
            <w:tcBorders>
              <w:bottom w:val="nil"/>
            </w:tcBorders>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生态效益指标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生态环境</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持续改善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bottom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Merge w:val="continue"/>
            <w:tcBorders>
              <w:top w:val="nil"/>
            </w:tcBorders>
            <w:vAlign w:val="center"/>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人居环境</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持续改善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bottom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75"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1"/>
                <w:sz w:val="20"/>
                <w:szCs w:val="20"/>
              </w:rPr>
              <w:t>可持续影响指</w:t>
            </w:r>
            <w:r>
              <w:rPr>
                <w:rFonts w:hint="eastAsia" w:ascii="宋体" w:hAnsi="宋体" w:eastAsia="宋体" w:cs="宋体"/>
                <w:b w:val="0"/>
                <w:bCs w:val="0"/>
                <w:sz w:val="20"/>
                <w:szCs w:val="20"/>
              </w:rPr>
              <w:t>标</w:t>
            </w:r>
          </w:p>
        </w:tc>
        <w:tc>
          <w:tcPr>
            <w:tcW w:w="3766" w:type="dxa"/>
            <w:vAlign w:val="top"/>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项目库建设</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不断完善</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6" w:hRule="atLeast"/>
          <w:jc w:val="center"/>
        </w:trPr>
        <w:tc>
          <w:tcPr>
            <w:tcW w:w="1295" w:type="dxa"/>
            <w:vMerge w:val="continue"/>
            <w:tcBorders>
              <w:top w:val="nil"/>
            </w:tcBorders>
            <w:vAlign w:val="top"/>
          </w:tcPr>
          <w:p>
            <w:pPr>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p>
        </w:tc>
        <w:tc>
          <w:tcPr>
            <w:tcW w:w="1553"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sz w:val="20"/>
                <w:szCs w:val="20"/>
              </w:rPr>
            </w:pPr>
            <w:r>
              <w:rPr>
                <w:rFonts w:hint="eastAsia" w:ascii="宋体" w:hAnsi="宋体" w:eastAsia="宋体" w:cs="宋体"/>
                <w:spacing w:val="-2"/>
                <w:sz w:val="20"/>
                <w:szCs w:val="20"/>
              </w:rPr>
              <w:t>满意度指标</w:t>
            </w:r>
          </w:p>
        </w:tc>
        <w:tc>
          <w:tcPr>
            <w:tcW w:w="1575"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pacing w:val="-2"/>
                <w:sz w:val="20"/>
                <w:szCs w:val="20"/>
              </w:rPr>
            </w:pPr>
            <w:r>
              <w:rPr>
                <w:rFonts w:hint="eastAsia" w:ascii="宋体" w:hAnsi="宋体" w:eastAsia="宋体" w:cs="宋体"/>
                <w:b w:val="0"/>
                <w:bCs w:val="0"/>
                <w:spacing w:val="-2"/>
                <w:sz w:val="20"/>
                <w:szCs w:val="20"/>
              </w:rPr>
              <w:t>服务对象</w:t>
            </w:r>
          </w:p>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rPr>
            </w:pPr>
            <w:r>
              <w:rPr>
                <w:rFonts w:hint="eastAsia" w:ascii="宋体" w:hAnsi="宋体" w:eastAsia="宋体" w:cs="宋体"/>
                <w:b w:val="0"/>
                <w:bCs w:val="0"/>
                <w:spacing w:val="-2"/>
                <w:sz w:val="20"/>
                <w:szCs w:val="20"/>
              </w:rPr>
              <w:t>满意度指标</w:t>
            </w:r>
          </w:p>
        </w:tc>
        <w:tc>
          <w:tcPr>
            <w:tcW w:w="3766"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eastAsia" w:ascii="宋体" w:hAnsi="宋体" w:eastAsia="宋体" w:cs="宋体"/>
                <w:b w:val="0"/>
                <w:bCs w:val="0"/>
                <w:sz w:val="20"/>
                <w:szCs w:val="20"/>
                <w:lang w:eastAsia="zh-CN"/>
              </w:rPr>
            </w:pPr>
            <w:r>
              <w:rPr>
                <w:rFonts w:hint="eastAsia" w:ascii="宋体" w:hAnsi="宋体" w:eastAsia="宋体" w:cs="宋体"/>
                <w:b w:val="0"/>
                <w:bCs w:val="0"/>
                <w:spacing w:val="3"/>
                <w:sz w:val="20"/>
                <w:szCs w:val="20"/>
              </w:rPr>
              <w:t>受益群体满意率</w:t>
            </w:r>
            <w:r>
              <w:rPr>
                <w:rFonts w:hint="eastAsia" w:ascii="宋体" w:hAnsi="宋体" w:eastAsia="宋体" w:cs="宋体"/>
                <w:b w:val="0"/>
                <w:bCs w:val="0"/>
                <w:spacing w:val="3"/>
                <w:sz w:val="20"/>
                <w:szCs w:val="20"/>
                <w:lang w:eastAsia="zh-CN"/>
              </w:rPr>
              <w:t>（</w:t>
            </w:r>
            <w:r>
              <w:rPr>
                <w:rFonts w:hint="eastAsia" w:ascii="宋体" w:hAnsi="宋体" w:eastAsia="宋体" w:cs="宋体"/>
                <w:b w:val="0"/>
                <w:bCs w:val="0"/>
                <w:spacing w:val="3"/>
                <w:sz w:val="20"/>
                <w:szCs w:val="20"/>
              </w:rPr>
              <w:t>≥**%</w:t>
            </w:r>
            <w:r>
              <w:rPr>
                <w:rFonts w:hint="eastAsia" w:ascii="宋体" w:hAnsi="宋体" w:eastAsia="宋体" w:cs="宋体"/>
                <w:b w:val="0"/>
                <w:bCs w:val="0"/>
                <w:spacing w:val="3"/>
                <w:sz w:val="20"/>
                <w:szCs w:val="20"/>
                <w:lang w:eastAsia="zh-CN"/>
              </w:rPr>
              <w:t>）</w:t>
            </w:r>
          </w:p>
        </w:tc>
        <w:tc>
          <w:tcPr>
            <w:tcW w:w="1007" w:type="dxa"/>
            <w:vAlign w:val="center"/>
          </w:tcPr>
          <w:p>
            <w:pPr>
              <w:pStyle w:val="8"/>
              <w:keepNext w:val="0"/>
              <w:keepLines w:val="0"/>
              <w:pageBreakBefore w:val="0"/>
              <w:widowControl/>
              <w:kinsoku w:val="0"/>
              <w:wordWrap/>
              <w:overflowPunct/>
              <w:topLinePunct w:val="0"/>
              <w:autoSpaceDE w:val="0"/>
              <w:autoSpaceDN w:val="0"/>
              <w:bidi w:val="0"/>
              <w:adjustRightInd w:val="0"/>
              <w:snapToGrid w:val="0"/>
              <w:spacing w:line="360" w:lineRule="exact"/>
              <w:ind w:left="0" w:right="0" w:firstLine="0"/>
              <w:jc w:val="center"/>
              <w:textAlignment w:val="baseline"/>
              <w:rPr>
                <w:rFonts w:hint="default" w:ascii="Times New Roman" w:hAnsi="Times New Roman" w:eastAsia="宋体" w:cs="Times New Roman"/>
                <w:b w:val="0"/>
                <w:bCs w:val="0"/>
                <w:sz w:val="20"/>
                <w:szCs w:val="20"/>
              </w:rPr>
            </w:pPr>
            <w:r>
              <w:rPr>
                <w:rFonts w:hint="default" w:ascii="Times New Roman" w:hAnsi="Times New Roman" w:eastAsia="宋体" w:cs="Times New Roman"/>
                <w:b w:val="0"/>
                <w:bCs w:val="0"/>
                <w:spacing w:val="-2"/>
                <w:sz w:val="20"/>
                <w:szCs w:val="20"/>
              </w:rPr>
              <w:t>90</w:t>
            </w:r>
          </w:p>
        </w:tc>
      </w:tr>
    </w:tbl>
    <w:p>
      <w:pPr>
        <w:bidi w:val="0"/>
        <w:jc w:val="both"/>
        <w:rPr>
          <w:rFonts w:hint="default"/>
          <w:lang w:val="en-US" w:eastAsia="zh-CN"/>
        </w:rPr>
      </w:pPr>
    </w:p>
    <w:sectPr>
      <w:headerReference r:id="rId6" w:type="default"/>
      <w:pgSz w:w="12081" w:h="16940"/>
      <w:pgMar w:top="1984" w:right="1587" w:bottom="1814" w:left="1587" w:header="0" w:footer="1417" w:gutter="0"/>
      <w:cols w:space="0" w:num="1"/>
      <w:rtlGutter w:val="0"/>
      <w:docGrid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方正大标宋简体">
    <w:altName w:val="Arial Unicode MS"/>
    <w:panose1 w:val="03000509000000000000"/>
    <w:charset w:val="86"/>
    <w:family w:val="auto"/>
    <w:pitch w:val="default"/>
    <w:sig w:usb0="00000000" w:usb1="00000000" w:usb2="00000000" w:usb3="00000000" w:csb0="00040001" w:csb1="00000000"/>
  </w:font>
  <w:font w:name="仿宋_GB2312">
    <w:altName w:val="仿宋"/>
    <w:panose1 w:val="02010609030101010101"/>
    <w:charset w:val="86"/>
    <w:family w:val="auto"/>
    <w:pitch w:val="default"/>
    <w:sig w:usb0="00000000" w:usb1="00000000" w:usb2="00000000" w:usb3="00000000" w:csb0="00040000" w:csb1="00000000"/>
  </w:font>
  <w:font w:name="方正仿宋简体">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spacing w:line="14" w:lineRule="auto"/>
      <w:rPr>
        <w:rFonts w:ascii="Arial"/>
        <w:sz w:val="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bordersDoNotSurroundHeader w:val="0"/>
  <w:bordersDoNotSurroundFooter w:val="0"/>
  <w:documentProtection w:enforcement="0"/>
  <w:drawingGridHorizontalSpacing w:val="210"/>
  <w:drawingGridVerticalSpacing w:val="99999990"/>
  <w:displayHorizontalDrawingGridEvery w:val="1"/>
  <w:displayVerticalDrawingGridEvery w:val="1"/>
  <w:noPunctuationKerning w:val="1"/>
  <w:characterSpacingControl w:val="doNotCompress"/>
  <w:footnotePr>
    <w:footnote w:id="0"/>
    <w:footnote w:id="1"/>
  </w:footnotePr>
  <w:endnotePr>
    <w:endnote w:id="0"/>
    <w:endnote w:id="1"/>
  </w:endnotePr>
  <w:compat>
    <w:spaceForUL/>
    <w:ulTrailSpace/>
    <w:doNotExpandShiftReturn/>
    <w:doNotWrapTextWithPunct/>
    <w:doNotUseEastAsianBreakRules/>
    <w:useFELayout/>
    <w:doNotUseIndentAsNumberingTabStop/>
    <w:compatSetting w:name="compatibilityMode" w:uri="http://schemas.microsoft.com/office/word" w:val="14"/>
  </w:compat>
  <w:docVars>
    <w:docVar w:name="commondata" w:val="eyJoZGlkIjoiNzNjYzk1Y2ZiN2ZjY2ZmNWEzNzQ1ZTFiM2ZmNTAyY2IifQ=="/>
    <w:docVar w:name="KSO_WPS_MARK_KEY" w:val="c0451746-9035-43c8-bab9-0ef9c6ffdad8"/>
  </w:docVars>
  <w:rsids>
    <w:rsidRoot w:val="00000000"/>
    <w:rsid w:val="0E042A8A"/>
    <w:rsid w:val="35EB0679"/>
    <w:rsid w:val="36943885"/>
    <w:rsid w:val="36A73155"/>
    <w:rsid w:val="3DB30838"/>
    <w:rsid w:val="4F346082"/>
    <w:rsid w:val="53D11CA9"/>
    <w:rsid w:val="62FD4D4C"/>
    <w:rsid w:val="791C157D"/>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character" w:default="1" w:styleId="6">
    <w:name w:val="Default Paragraph Font"/>
    <w:semiHidden/>
    <w:qFormat/>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2">
    <w:name w:val="Body Text"/>
    <w:basedOn w:val="1"/>
    <w:semiHidden/>
    <w:qFormat/>
    <w:uiPriority w:val="0"/>
    <w:rPr>
      <w:rFonts w:ascii="仿宋" w:hAnsi="仿宋" w:eastAsia="仿宋" w:cs="仿宋"/>
      <w:sz w:val="33"/>
      <w:szCs w:val="33"/>
      <w:lang w:val="en-US" w:eastAsia="en-US" w:bidi="ar-SA"/>
    </w:rPr>
  </w:style>
  <w:style w:type="paragraph" w:styleId="3">
    <w:name w:val="footer"/>
    <w:basedOn w:val="1"/>
    <w:uiPriority w:val="0"/>
    <w:pPr>
      <w:tabs>
        <w:tab w:val="center" w:pos="4153"/>
        <w:tab w:val="right" w:pos="8306"/>
      </w:tabs>
      <w:snapToGrid w:val="0"/>
      <w:jc w:val="left"/>
    </w:pPr>
    <w:rPr>
      <w:sz w:val="18"/>
    </w:rPr>
  </w:style>
  <w:style w:type="paragraph" w:styleId="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customStyle="1" w:styleId="7">
    <w:name w:val="Table Normal"/>
    <w:semiHidden/>
    <w:unhideWhenUsed/>
    <w:qFormat/>
    <w:uiPriority w:val="0"/>
    <w:tblPr>
      <w:tblCellMar>
        <w:top w:w="0" w:type="dxa"/>
        <w:left w:w="0" w:type="dxa"/>
        <w:bottom w:w="0" w:type="dxa"/>
        <w:right w:w="0" w:type="dxa"/>
      </w:tblCellMar>
    </w:tblPr>
  </w:style>
  <w:style w:type="paragraph" w:customStyle="1" w:styleId="8">
    <w:name w:val="Table Text"/>
    <w:basedOn w:val="1"/>
    <w:semiHidden/>
    <w:qFormat/>
    <w:uiPriority w:val="0"/>
    <w:rPr>
      <w:rFonts w:ascii="宋体" w:hAnsi="宋体" w:eastAsia="宋体" w:cs="宋体"/>
      <w:sz w:val="16"/>
      <w:szCs w:val="16"/>
      <w:lang w:val="en-US" w:eastAsia="en-US"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header" Target="header1.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Pages>6</Pages>
  <Words>2060</Words>
  <Characters>2228</Characters>
  <TotalTime>24</TotalTime>
  <ScaleCrop>false</ScaleCrop>
  <LinksUpToDate>false</LinksUpToDate>
  <CharactersWithSpaces>2416</CharactersWithSpaces>
  <Application>WPS Office_12.1.0.16929_F1E327BC-269C-435d-A152-05C5408002CA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2023-12-26T17:15:00Z</dcterms:created>
  <dc:creator>Kingsoft-PDF</dc:creator>
  <cp:lastModifiedBy>我连上WIFI啦</cp:lastModifiedBy>
  <cp:lastPrinted>2024-05-31T10:22:00Z</cp:lastPrinted>
  <dcterms:modified xsi:type="dcterms:W3CDTF">2024-06-05T02:09:47Z</dcterms:modified>
  <dc:subject>pdfbuilder</dc:subject>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wqlLaW5nc29mdCBQREYgdG8gV1BTIDkw</vt:lpwstr>
  </property>
  <property fmtid="{D5CDD505-2E9C-101B-9397-08002B2CF9AE}" pid="3" name="Created">
    <vt:filetime>2023-12-26T17:15:37Z</vt:filetime>
  </property>
  <property fmtid="{D5CDD505-2E9C-101B-9397-08002B2CF9AE}" pid="4" name="UsrData">
    <vt:lpwstr>658a99b475ed98001f664c8cwl</vt:lpwstr>
  </property>
  <property fmtid="{D5CDD505-2E9C-101B-9397-08002B2CF9AE}" pid="5" name="KSOProductBuildVer">
    <vt:lpwstr>2052-12.1.0.16929</vt:lpwstr>
  </property>
  <property fmtid="{D5CDD505-2E9C-101B-9397-08002B2CF9AE}" pid="6" name="ICV">
    <vt:lpwstr>7DA8C82E78564866B09512B6D35E27BE_12</vt:lpwstr>
  </property>
</Properties>
</file>