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ind w:left="0" w:leftChars="0" w:right="0" w:firstLine="632"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firstLine="632"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firstLine="632"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ind w:right="0"/>
        <w:jc w:val="right"/>
        <w:textAlignment w:val="auto"/>
        <w:rPr>
          <w:rFonts w:hint="default" w:ascii="Times New Roman" w:hAnsi="Times New Roman" w:eastAsia="仿宋_GB2312" w:cs="Times New Roman"/>
          <w:sz w:val="32"/>
          <w:szCs w:val="32"/>
        </w:rPr>
      </w:pPr>
      <w:bookmarkStart w:id="0" w:name="_GoBack"/>
      <w:r>
        <w:rPr>
          <w:rFonts w:hint="default" w:ascii="Times New Roman" w:hAnsi="Times New Roman" w:eastAsia="仿宋_GB2312" w:cs="Times New Roman"/>
          <w:sz w:val="32"/>
          <w:szCs w:val="32"/>
        </w:rPr>
        <w:t>随</w:t>
      </w:r>
      <w:r>
        <w:rPr>
          <w:rFonts w:hint="default" w:ascii="Times New Roman" w:hAnsi="Times New Roman" w:eastAsia="仿宋_GB2312" w:cs="Times New Roman"/>
          <w:sz w:val="32"/>
          <w:szCs w:val="32"/>
        </w:rPr>
        <w:t>财</w:t>
      </w:r>
      <w:r>
        <w:rPr>
          <w:rFonts w:hint="default" w:ascii="Times New Roman" w:hAnsi="Times New Roman" w:eastAsia="仿宋_GB2312" w:cs="Times New Roman"/>
          <w:sz w:val="32"/>
          <w:szCs w:val="32"/>
        </w:rPr>
        <w:t>函〔20</w:t>
      </w: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w:t>
      </w:r>
      <w:r>
        <w:rPr>
          <w:rFonts w:hint="eastAsia" w:cs="Times New Roman"/>
          <w:sz w:val="32"/>
          <w:szCs w:val="32"/>
          <w:lang w:val="en-US" w:eastAsia="zh-CN"/>
        </w:rPr>
        <w:t>23</w:t>
      </w:r>
      <w:r>
        <w:rPr>
          <w:rFonts w:hint="default" w:ascii="Times New Roman" w:hAnsi="Times New Roman" w:eastAsia="仿宋_GB2312" w:cs="Times New Roman"/>
          <w:sz w:val="32"/>
          <w:szCs w:val="32"/>
        </w:rPr>
        <w:t>号</w:t>
      </w:r>
    </w:p>
    <w:bookmarkEnd w:id="0"/>
    <w:p>
      <w:pPr>
        <w:keepNext w:val="0"/>
        <w:keepLines w:val="0"/>
        <w:pageBreakBefore w:val="0"/>
        <w:widowControl w:val="0"/>
        <w:kinsoku/>
        <w:wordWrap/>
        <w:overflowPunct/>
        <w:topLinePunct w:val="0"/>
        <w:autoSpaceDE/>
        <w:autoSpaceDN/>
        <w:bidi w:val="0"/>
        <w:adjustRightInd/>
        <w:snapToGrid/>
        <w:spacing w:line="620" w:lineRule="exact"/>
        <w:ind w:right="0"/>
        <w:jc w:val="righ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rPr>
        <w:t xml:space="preserve"> </w:t>
      </w:r>
    </w:p>
    <w:p>
      <w:pPr>
        <w:pStyle w:val="2"/>
        <w:keepNext w:val="0"/>
        <w:keepLines w:val="0"/>
        <w:pageBreakBefore w:val="0"/>
        <w:widowControl w:val="0"/>
        <w:kinsoku/>
        <w:wordWrap/>
        <w:overflowPunct/>
        <w:topLinePunct w:val="0"/>
        <w:autoSpaceDE/>
        <w:autoSpaceDN/>
        <w:bidi w:val="0"/>
        <w:adjustRightInd/>
        <w:snapToGrid/>
        <w:spacing w:before="0" w:after="0" w:line="540" w:lineRule="exact"/>
        <w:ind w:right="0"/>
        <w:jc w:val="center"/>
        <w:textAlignment w:val="auto"/>
        <w:rPr>
          <w:rFonts w:hint="eastAsia" w:ascii="方正小标宋简体" w:hAnsi="方正小标宋简体" w:eastAsia="方正小标宋简体" w:cs="方正小标宋简体"/>
          <w:b w:val="0"/>
          <w:bCs w:val="0"/>
          <w:sz w:val="40"/>
          <w:szCs w:val="40"/>
          <w:lang w:val="en-US" w:eastAsia="zh-CN"/>
        </w:rPr>
      </w:pPr>
      <w:r>
        <w:rPr>
          <w:rFonts w:hint="eastAsia" w:ascii="方正小标宋简体" w:hAnsi="方正小标宋简体" w:eastAsia="方正小标宋简体" w:cs="方正小标宋简体"/>
          <w:b w:val="0"/>
          <w:bCs w:val="0"/>
          <w:sz w:val="40"/>
          <w:szCs w:val="40"/>
          <w:lang w:val="en-US" w:eastAsia="zh-CN"/>
        </w:rPr>
        <w:t>关于下拨2023年中央优抚对象补助经费</w:t>
      </w:r>
    </w:p>
    <w:p>
      <w:pPr>
        <w:pStyle w:val="2"/>
        <w:keepNext w:val="0"/>
        <w:keepLines w:val="0"/>
        <w:pageBreakBefore w:val="0"/>
        <w:widowControl w:val="0"/>
        <w:kinsoku/>
        <w:wordWrap/>
        <w:overflowPunct/>
        <w:topLinePunct w:val="0"/>
        <w:autoSpaceDE/>
        <w:autoSpaceDN/>
        <w:bidi w:val="0"/>
        <w:adjustRightInd/>
        <w:snapToGrid/>
        <w:spacing w:before="0" w:after="0" w:line="540" w:lineRule="exact"/>
        <w:ind w:right="0"/>
        <w:jc w:val="center"/>
        <w:textAlignment w:val="auto"/>
        <w:rPr>
          <w:rFonts w:hint="eastAsia" w:ascii="方正小标宋简体" w:hAnsi="方正小标宋简体" w:eastAsia="方正小标宋简体" w:cs="方正小标宋简体"/>
          <w:b w:val="0"/>
          <w:bCs w:val="0"/>
          <w:sz w:val="40"/>
          <w:szCs w:val="40"/>
        </w:rPr>
      </w:pPr>
      <w:r>
        <w:rPr>
          <w:rFonts w:hint="eastAsia" w:ascii="方正小标宋简体" w:hAnsi="方正小标宋简体" w:eastAsia="方正小标宋简体" w:cs="方正小标宋简体"/>
          <w:b w:val="0"/>
          <w:bCs w:val="0"/>
          <w:sz w:val="40"/>
          <w:szCs w:val="40"/>
          <w:lang w:val="en-US" w:eastAsia="zh-CN"/>
        </w:rPr>
        <w:t>（优抚对象定期补助）的</w:t>
      </w:r>
      <w:r>
        <w:rPr>
          <w:rFonts w:hint="eastAsia" w:ascii="方正小标宋简体" w:hAnsi="方正小标宋简体" w:eastAsia="方正小标宋简体" w:cs="方正小标宋简体"/>
          <w:b w:val="0"/>
          <w:bCs w:val="0"/>
          <w:sz w:val="40"/>
          <w:szCs w:val="40"/>
        </w:rPr>
        <w:t>通知</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b/>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eastAsia" w:cs="Times New Roman"/>
          <w:sz w:val="32"/>
          <w:szCs w:val="32"/>
          <w:lang w:val="en-US" w:eastAsia="zh-CN"/>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val="0"/>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根据《省财政厅关于下达2023年中央优抚对象补助经费</w:t>
      </w:r>
      <w:r>
        <w:rPr>
          <w:rFonts w:hint="eastAsia" w:cs="Times New Roman"/>
          <w:sz w:val="32"/>
          <w:szCs w:val="32"/>
          <w:lang w:eastAsia="zh-CN"/>
        </w:rPr>
        <w:t>（</w:t>
      </w:r>
      <w:r>
        <w:rPr>
          <w:rFonts w:hint="default" w:ascii="Times New Roman" w:hAnsi="Times New Roman" w:eastAsia="仿宋_GB2312" w:cs="Times New Roman"/>
          <w:sz w:val="32"/>
          <w:szCs w:val="32"/>
        </w:rPr>
        <w:t>优抚对象定期补助</w:t>
      </w:r>
      <w:r>
        <w:rPr>
          <w:rFonts w:hint="eastAsia" w:cs="Times New Roman"/>
          <w:sz w:val="32"/>
          <w:szCs w:val="32"/>
          <w:lang w:eastAsia="zh-CN"/>
        </w:rPr>
        <w:t>）</w:t>
      </w:r>
      <w:r>
        <w:rPr>
          <w:rFonts w:hint="default" w:ascii="Times New Roman" w:hAnsi="Times New Roman" w:eastAsia="仿宋_GB2312" w:cs="Times New Roman"/>
          <w:sz w:val="32"/>
          <w:szCs w:val="32"/>
        </w:rPr>
        <w:t>的通知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鄂财社发〔2023〕129号</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文件精神，经研究决定，现</w:t>
      </w:r>
      <w:r>
        <w:rPr>
          <w:rFonts w:hint="default" w:ascii="Times New Roman" w:hAnsi="Times New Roman" w:eastAsia="仿宋_GB2312" w:cs="Times New Roman"/>
          <w:sz w:val="32"/>
          <w:szCs w:val="32"/>
        </w:rPr>
        <w:t>下达你地</w:t>
      </w:r>
      <w:r>
        <w:rPr>
          <w:rFonts w:hint="default" w:ascii="Times New Roman" w:hAnsi="Times New Roman" w:eastAsia="仿宋_GB2312" w:cs="Times New Roman"/>
          <w:sz w:val="32"/>
          <w:szCs w:val="32"/>
          <w:lang w:val="en-US" w:eastAsia="zh-CN"/>
        </w:rPr>
        <w:t>2023年中央优抚对象补助经费</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优抚对象定期补助</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 xml:space="preserve">  </w:t>
      </w:r>
      <w:r>
        <w:rPr>
          <w:rFonts w:hint="eastAsia" w:cs="Times New Roman"/>
          <w:sz w:val="32"/>
          <w:szCs w:val="32"/>
          <w:lang w:val="en-US" w:eastAsia="zh-CN"/>
        </w:rPr>
        <w:t xml:space="preserve">   </w:t>
      </w:r>
      <w:r>
        <w:rPr>
          <w:rFonts w:hint="default" w:ascii="Times New Roman" w:hAnsi="Times New Roman" w:eastAsia="仿宋_GB2312" w:cs="Times New Roman"/>
          <w:sz w:val="32"/>
          <w:szCs w:val="32"/>
          <w:lang w:val="en-US" w:eastAsia="zh-CN"/>
        </w:rPr>
        <w:t xml:space="preserve"> 万元（项目代码:10000013Z135080000006）</w:t>
      </w:r>
      <w:r>
        <w:rPr>
          <w:rFonts w:hint="eastAsia" w:cs="Times New Roman"/>
          <w:sz w:val="32"/>
          <w:szCs w:val="32"/>
          <w:lang w:val="en-US" w:eastAsia="zh-CN"/>
        </w:rPr>
        <w:t>资金</w:t>
      </w:r>
      <w:r>
        <w:rPr>
          <w:rFonts w:hint="default" w:ascii="Times New Roman" w:hAnsi="Times New Roman" w:eastAsia="仿宋_GB2312" w:cs="Times New Roman"/>
          <w:sz w:val="32"/>
          <w:szCs w:val="32"/>
          <w:lang w:val="en-US" w:eastAsia="zh-CN"/>
        </w:rPr>
        <w:t>，支出请列入</w:t>
      </w:r>
      <w:r>
        <w:rPr>
          <w:rFonts w:hint="eastAsia" w:cs="Times New Roman"/>
          <w:sz w:val="32"/>
          <w:szCs w:val="32"/>
          <w:lang w:val="en-US" w:eastAsia="zh-CN"/>
        </w:rPr>
        <w:t>2024年政府收支分类科目“20808抚恤”</w:t>
      </w:r>
      <w:r>
        <w:rPr>
          <w:rFonts w:hint="default" w:ascii="Times New Roman" w:hAnsi="Times New Roman" w:eastAsia="仿宋_GB2312" w:cs="Times New Roman"/>
          <w:sz w:val="32"/>
          <w:szCs w:val="32"/>
          <w:lang w:val="en-US" w:eastAsia="zh-CN"/>
        </w:rPr>
        <w:t>。通过2024年财政年终结算办理。</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一、此次安排资金主要用于</w:t>
      </w:r>
      <w:r>
        <w:rPr>
          <w:rFonts w:hint="default" w:ascii="Times New Roman" w:hAnsi="Times New Roman" w:eastAsia="仿宋_GB2312" w:cs="Times New Roman"/>
          <w:sz w:val="32"/>
          <w:szCs w:val="32"/>
          <w:lang w:val="en-US" w:eastAsia="zh-CN"/>
        </w:rPr>
        <w:t>两个方面：一是</w:t>
      </w:r>
      <w:r>
        <w:rPr>
          <w:rFonts w:hint="default" w:ascii="Times New Roman" w:hAnsi="Times New Roman" w:eastAsia="仿宋_GB2312" w:cs="Times New Roman"/>
          <w:sz w:val="32"/>
          <w:szCs w:val="32"/>
        </w:rPr>
        <w:t>伤残军人（含残疾军人、伤残人民警察、伤残国家机关工作人员、伤残民兵民工）、“三红”（在乡退伍红军老战士、在乡西路军红军老战士、红军失散人员）、“三属”（烈士、因公牺牲和病故军人家属）、在乡老复员军人、带病回乡退伍军人、在农村的和城镇无工作单位且家庭生活困难的参战退役人员、部分原8023部队及其他参加核试验军队退役人员，以及符合条件的农村籍退役士兵、老烈士子女（含建国前错杀</w:t>
      </w:r>
      <w:r>
        <w:rPr>
          <w:rFonts w:hint="default" w:ascii="Times New Roman" w:hAnsi="Times New Roman" w:eastAsia="仿宋_GB2312" w:cs="Times New Roman"/>
          <w:sz w:val="32"/>
          <w:szCs w:val="32"/>
          <w:lang w:val="en-US" w:eastAsia="zh-CN"/>
        </w:rPr>
        <w:t>后</w:t>
      </w:r>
      <w:r>
        <w:rPr>
          <w:rFonts w:hint="default" w:ascii="Times New Roman" w:hAnsi="Times New Roman" w:eastAsia="仿宋_GB2312" w:cs="Times New Roman"/>
          <w:sz w:val="32"/>
          <w:szCs w:val="32"/>
        </w:rPr>
        <w:t>被平反人员的子女）、参与铀矿开采军队退役人员等人员抚恤和生活补助支出。</w:t>
      </w:r>
      <w:r>
        <w:rPr>
          <w:rFonts w:hint="default" w:ascii="Times New Roman" w:hAnsi="Times New Roman" w:eastAsia="仿宋_GB2312" w:cs="Times New Roman"/>
          <w:sz w:val="32"/>
          <w:szCs w:val="32"/>
          <w:lang w:val="en-US" w:eastAsia="zh-CN"/>
        </w:rPr>
        <w:t>二是建国前入党的农村老党员和未享受离退休待遇的城镇老党员生活补贴补助支出。各地要按照规定的补贴标准，统筹使用中央财政</w:t>
      </w:r>
      <w:r>
        <w:rPr>
          <w:rFonts w:hint="default" w:ascii="Times New Roman" w:hAnsi="Times New Roman" w:eastAsia="仿宋_GB2312" w:cs="Times New Roman"/>
          <w:sz w:val="32"/>
          <w:szCs w:val="32"/>
          <w:lang w:val="en-US" w:eastAsia="zh-CN"/>
        </w:rPr>
        <w:t>和</w:t>
      </w:r>
      <w:r>
        <w:rPr>
          <w:rFonts w:hint="default" w:ascii="Times New Roman" w:hAnsi="Times New Roman" w:eastAsia="仿宋_GB2312" w:cs="Times New Roman"/>
          <w:sz w:val="32"/>
          <w:szCs w:val="32"/>
          <w:lang w:val="en-US" w:eastAsia="zh-CN"/>
        </w:rPr>
        <w:t>中央管理的党费安排的补助资金，以及地方安排的补助资金。</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二、</w:t>
      </w:r>
      <w:r>
        <w:rPr>
          <w:rFonts w:hint="default" w:ascii="Times New Roman" w:hAnsi="Times New Roman" w:eastAsia="仿宋_GB2312" w:cs="Times New Roman"/>
          <w:sz w:val="32"/>
          <w:szCs w:val="32"/>
        </w:rPr>
        <w:t>此次下达的补助资金列入直达资金管理，该项直达资金的标识为</w:t>
      </w:r>
      <w:r>
        <w:rPr>
          <w:rFonts w:hint="default" w:ascii="Times New Roman" w:hAnsi="Times New Roman" w:eastAsia="仿宋_GB2312" w:cs="Times New Roman"/>
          <w:color w:val="auto"/>
          <w:sz w:val="32"/>
          <w:szCs w:val="32"/>
        </w:rPr>
        <w:t>“01中央直达资金”，贯穿资金分配、拨付、使用等整个环节，且保持不变。各地应及时在指标管理系统中登录有关指标和直达资金标识，导入直达资金监控系统，确保数据真实、账目清晰、流向明确。</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三、</w:t>
      </w:r>
      <w:r>
        <w:rPr>
          <w:rFonts w:hint="default" w:ascii="Times New Roman" w:hAnsi="Times New Roman" w:eastAsia="仿宋_GB2312" w:cs="Times New Roman"/>
          <w:sz w:val="32"/>
          <w:szCs w:val="32"/>
        </w:rPr>
        <w:t>请按照《中共中央 国务院关于全面实施预算绩效管理的意见》的要求，切实提高财政资金使用效益，在组织预算执行中对照你地区域绩效目标做好绩效监控，确保年度绩效目标如期实现。同时，请参照中央、省级做法，将你地绩效目标及时分解，做好预算绩效管理工作。</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1896" w:leftChars="200" w:right="0" w:hanging="1264" w:hangingChars="4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附件：1.</w:t>
      </w:r>
      <w:r>
        <w:rPr>
          <w:rFonts w:hint="default" w:ascii="Times New Roman" w:hAnsi="Times New Roman" w:eastAsia="仿宋_GB2312" w:cs="Times New Roman"/>
          <w:sz w:val="32"/>
          <w:szCs w:val="32"/>
          <w:lang w:val="en-US" w:eastAsia="zh-CN"/>
        </w:rPr>
        <w:t>2023年中央优抚对象补助经费</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优抚对象定期补助</w:t>
      </w:r>
      <w:r>
        <w:rPr>
          <w:rFonts w:hint="eastAsia" w:cs="Times New Roman"/>
          <w:sz w:val="32"/>
          <w:szCs w:val="32"/>
          <w:lang w:val="en-US" w:eastAsia="zh-CN"/>
        </w:rPr>
        <w:t>）</w:t>
      </w:r>
      <w:r>
        <w:rPr>
          <w:rFonts w:hint="default" w:ascii="Times New Roman" w:hAnsi="Times New Roman" w:eastAsia="仿宋_GB2312" w:cs="Times New Roman"/>
          <w:spacing w:val="-20"/>
          <w:sz w:val="32"/>
          <w:szCs w:val="32"/>
        </w:rPr>
        <w:t>分配表</w:t>
      </w:r>
    </w:p>
    <w:p>
      <w:pPr>
        <w:keepNext w:val="0"/>
        <w:keepLines w:val="0"/>
        <w:pageBreakBefore w:val="0"/>
        <w:widowControl w:val="0"/>
        <w:kinsoku/>
        <w:wordWrap/>
        <w:overflowPunct/>
        <w:topLinePunct w:val="0"/>
        <w:autoSpaceDE/>
        <w:autoSpaceDN/>
        <w:bidi w:val="0"/>
        <w:adjustRightInd/>
        <w:snapToGrid/>
        <w:spacing w:line="540" w:lineRule="exact"/>
        <w:ind w:left="1896" w:leftChars="500" w:right="0" w:hanging="316" w:hangingChars="100"/>
        <w:jc w:val="both"/>
        <w:textAlignment w:val="auto"/>
        <w:rPr>
          <w:rFonts w:hint="default" w:ascii="Times New Roman" w:hAnsi="Times New Roman" w:eastAsia="仿宋_GB2312" w:cs="Times New Roman"/>
          <w:spacing w:val="-20"/>
          <w:sz w:val="32"/>
          <w:szCs w:val="32"/>
        </w:rPr>
      </w:pP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2023年中央优抚对象补助经费</w:t>
      </w:r>
      <w:r>
        <w:rPr>
          <w:rFonts w:hint="eastAsia" w:cs="Times New Roman"/>
          <w:sz w:val="32"/>
          <w:szCs w:val="32"/>
          <w:lang w:val="en-US" w:eastAsia="zh-CN"/>
        </w:rPr>
        <w:t>（</w:t>
      </w:r>
      <w:r>
        <w:rPr>
          <w:rFonts w:hint="default" w:ascii="Times New Roman" w:hAnsi="Times New Roman" w:eastAsia="仿宋_GB2312" w:cs="Times New Roman"/>
          <w:sz w:val="32"/>
          <w:szCs w:val="32"/>
          <w:lang w:val="en-US" w:eastAsia="zh-CN"/>
        </w:rPr>
        <w:t>优抚对象定期补助</w:t>
      </w:r>
      <w:r>
        <w:rPr>
          <w:rFonts w:hint="eastAsia" w:cs="Times New Roman"/>
          <w:sz w:val="32"/>
          <w:szCs w:val="32"/>
          <w:lang w:val="en-US" w:eastAsia="zh-CN"/>
        </w:rPr>
        <w:t>）</w:t>
      </w:r>
      <w:r>
        <w:rPr>
          <w:rFonts w:hint="default" w:ascii="Times New Roman" w:hAnsi="Times New Roman" w:eastAsia="仿宋_GB2312" w:cs="Times New Roman"/>
          <w:spacing w:val="-20"/>
          <w:sz w:val="32"/>
          <w:szCs w:val="32"/>
        </w:rPr>
        <w:t>区域绩效目标表</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71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pacing w:val="20"/>
          <w:sz w:val="32"/>
          <w:szCs w:val="32"/>
        </w:rPr>
        <w:t>随州市财政局</w:t>
      </w:r>
      <w:r>
        <w:rPr>
          <w:rFonts w:hint="default" w:ascii="Times New Roman" w:hAnsi="Times New Roman" w:eastAsia="仿宋_GB2312" w:cs="Times New Roman"/>
          <w:sz w:val="32"/>
          <w:szCs w:val="32"/>
        </w:rPr>
        <w:t xml:space="preserve">            随州市退役军人事务局</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32" w:firstLineChars="200"/>
        <w:jc w:val="both"/>
        <w:textAlignment w:val="auto"/>
        <w:rPr>
          <w:rFonts w:hint="default" w:ascii="Times New Roman" w:hAnsi="Times New Roman" w:eastAsia="仿宋_GB2312" w:cs="Times New Roman"/>
          <w:spacing w:val="30"/>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pacing w:val="0"/>
          <w:sz w:val="32"/>
          <w:szCs w:val="32"/>
          <w:lang w:val="en-US" w:eastAsia="zh-CN"/>
        </w:rPr>
        <w:t xml:space="preserve">  </w:t>
      </w:r>
      <w:r>
        <w:rPr>
          <w:rFonts w:hint="default" w:ascii="Times New Roman" w:hAnsi="Times New Roman" w:eastAsia="仿宋_GB2312" w:cs="Times New Roman"/>
          <w:spacing w:val="0"/>
          <w:sz w:val="32"/>
          <w:szCs w:val="32"/>
        </w:rPr>
        <w:t>202</w:t>
      </w:r>
      <w:r>
        <w:rPr>
          <w:rFonts w:hint="default" w:ascii="Times New Roman" w:hAnsi="Times New Roman" w:eastAsia="仿宋_GB2312" w:cs="Times New Roman"/>
          <w:spacing w:val="0"/>
          <w:sz w:val="32"/>
          <w:szCs w:val="32"/>
          <w:lang w:val="en-US" w:eastAsia="zh-CN"/>
        </w:rPr>
        <w:t>4</w:t>
      </w:r>
      <w:r>
        <w:rPr>
          <w:rFonts w:hint="default" w:ascii="Times New Roman" w:hAnsi="Times New Roman" w:eastAsia="仿宋_GB2312" w:cs="Times New Roman"/>
          <w:spacing w:val="0"/>
          <w:sz w:val="32"/>
          <w:szCs w:val="32"/>
        </w:rPr>
        <w:t>年</w:t>
      </w:r>
      <w:r>
        <w:rPr>
          <w:rFonts w:hint="eastAsia" w:cs="Times New Roman"/>
          <w:spacing w:val="0"/>
          <w:sz w:val="32"/>
          <w:szCs w:val="32"/>
          <w:lang w:val="en-US" w:eastAsia="zh-CN"/>
        </w:rPr>
        <w:t>3</w:t>
      </w:r>
      <w:r>
        <w:rPr>
          <w:rFonts w:hint="default" w:ascii="Times New Roman" w:hAnsi="Times New Roman" w:eastAsia="仿宋_GB2312" w:cs="Times New Roman"/>
          <w:spacing w:val="0"/>
          <w:sz w:val="32"/>
          <w:szCs w:val="32"/>
        </w:rPr>
        <w:t>月</w:t>
      </w:r>
      <w:r>
        <w:rPr>
          <w:rFonts w:hint="eastAsia" w:cs="Times New Roman"/>
          <w:spacing w:val="0"/>
          <w:sz w:val="32"/>
          <w:szCs w:val="32"/>
          <w:lang w:val="en-US" w:eastAsia="zh-CN"/>
        </w:rPr>
        <w:t>5</w:t>
      </w:r>
      <w:r>
        <w:rPr>
          <w:rFonts w:hint="default" w:ascii="Times New Roman" w:hAnsi="Times New Roman" w:eastAsia="仿宋_GB2312" w:cs="Times New Roman"/>
          <w:spacing w:val="0"/>
          <w:sz w:val="32"/>
          <w:szCs w:val="32"/>
        </w:rPr>
        <w:t>日</w:t>
      </w:r>
    </w:p>
    <w:p>
      <w:pPr>
        <w:keepNext w:val="0"/>
        <w:keepLines w:val="0"/>
        <w:pageBreakBefore w:val="0"/>
        <w:widowControl w:val="0"/>
        <w:kinsoku/>
        <w:wordWrap/>
        <w:overflowPunct/>
        <w:topLinePunct w:val="0"/>
        <w:autoSpaceDE/>
        <w:autoSpaceDN/>
        <w:bidi w:val="0"/>
        <w:adjustRightInd/>
        <w:snapToGrid/>
        <w:spacing w:line="620" w:lineRule="exact"/>
        <w:ind w:left="0" w:leftChars="0" w:right="0" w:firstLine="752" w:firstLineChars="200"/>
        <w:jc w:val="both"/>
        <w:textAlignment w:val="auto"/>
        <w:rPr>
          <w:rFonts w:hint="default" w:ascii="Times New Roman" w:hAnsi="Times New Roman" w:eastAsia="仿宋_GB2312" w:cs="Times New Roman"/>
          <w:spacing w:val="30"/>
          <w:sz w:val="32"/>
          <w:szCs w:val="32"/>
        </w:rPr>
      </w:pPr>
    </w:p>
    <w:p>
      <w:pPr>
        <w:rPr>
          <w:rFonts w:hint="default" w:ascii="Times New Roman" w:hAnsi="Times New Roman" w:eastAsia="黑体" w:cs="Times New Roman"/>
        </w:rPr>
      </w:pPr>
      <w:r>
        <w:rPr>
          <w:rFonts w:hint="default" w:ascii="Times New Roman" w:hAnsi="Times New Roman" w:eastAsia="黑体" w:cs="Times New Roman"/>
        </w:rPr>
        <w:t>附件1</w:t>
      </w:r>
    </w:p>
    <w:p>
      <w:pPr>
        <w:rPr>
          <w:rFonts w:hint="eastAsia" w:ascii="黑体" w:eastAsia="黑体"/>
        </w:rPr>
      </w:pPr>
    </w:p>
    <w:p>
      <w:pPr>
        <w:snapToGrid w:val="0"/>
        <w:jc w:val="center"/>
        <w:rPr>
          <w:rFonts w:hint="default" w:ascii="Times New Roman" w:hAnsi="Times New Roman" w:eastAsia="方正大标宋简体" w:cs="Times New Roman"/>
          <w:bCs/>
          <w:sz w:val="40"/>
          <w:szCs w:val="40"/>
          <w:lang w:val="en-US" w:eastAsia="zh-CN"/>
        </w:rPr>
      </w:pPr>
      <w:r>
        <w:rPr>
          <w:rFonts w:hint="default" w:ascii="Times New Roman" w:hAnsi="Times New Roman" w:eastAsia="方正大标宋简体" w:cs="Times New Roman"/>
          <w:bCs/>
          <w:sz w:val="40"/>
          <w:szCs w:val="40"/>
          <w:lang w:val="en-US" w:eastAsia="zh-CN"/>
        </w:rPr>
        <w:t>2023年中央优抚对象补助经费</w:t>
      </w:r>
    </w:p>
    <w:p>
      <w:pPr>
        <w:snapToGrid w:val="0"/>
        <w:jc w:val="center"/>
        <w:rPr>
          <w:rFonts w:hint="default" w:ascii="Times New Roman" w:hAnsi="Times New Roman" w:eastAsia="方正大标宋简体" w:cs="Times New Roman"/>
          <w:bCs/>
          <w:sz w:val="40"/>
          <w:szCs w:val="40"/>
          <w:lang w:val="en-US" w:eastAsia="zh-CN"/>
        </w:rPr>
      </w:pPr>
      <w:r>
        <w:rPr>
          <w:rFonts w:hint="eastAsia" w:eastAsia="方正大标宋简体" w:cs="Times New Roman"/>
          <w:bCs/>
          <w:sz w:val="40"/>
          <w:szCs w:val="40"/>
          <w:lang w:val="en-US" w:eastAsia="zh-CN"/>
        </w:rPr>
        <w:t>（</w:t>
      </w:r>
      <w:r>
        <w:rPr>
          <w:rFonts w:hint="default" w:ascii="Times New Roman" w:hAnsi="Times New Roman" w:eastAsia="方正大标宋简体" w:cs="Times New Roman"/>
          <w:bCs/>
          <w:sz w:val="40"/>
          <w:szCs w:val="40"/>
          <w:lang w:val="en-US" w:eastAsia="zh-CN"/>
        </w:rPr>
        <w:t>优抚对象定期补助</w:t>
      </w:r>
      <w:r>
        <w:rPr>
          <w:rFonts w:hint="eastAsia" w:eastAsia="方正大标宋简体" w:cs="Times New Roman"/>
          <w:bCs/>
          <w:sz w:val="40"/>
          <w:szCs w:val="40"/>
          <w:lang w:val="en-US" w:eastAsia="zh-CN"/>
        </w:rPr>
        <w:t>）</w:t>
      </w:r>
      <w:r>
        <w:rPr>
          <w:rFonts w:hint="default" w:ascii="Times New Roman" w:hAnsi="Times New Roman" w:eastAsia="方正大标宋简体" w:cs="Times New Roman"/>
          <w:bCs/>
          <w:sz w:val="40"/>
          <w:szCs w:val="40"/>
          <w:lang w:val="en-US" w:eastAsia="zh-CN"/>
        </w:rPr>
        <w:t>分配表</w:t>
      </w:r>
    </w:p>
    <w:p>
      <w:pPr>
        <w:snapToGrid w:val="0"/>
        <w:jc w:val="center"/>
        <w:rPr>
          <w:rFonts w:ascii="方正大标宋简体" w:hAnsi="方正大标宋简体" w:eastAsia="方正大标宋简体" w:cs="方正大标宋简体"/>
          <w:bCs/>
          <w:sz w:val="44"/>
          <w:szCs w:val="44"/>
        </w:rPr>
      </w:pPr>
    </w:p>
    <w:p>
      <w:pPr>
        <w:ind w:right="300"/>
        <w:jc w:val="center"/>
        <w:rPr>
          <w:rFonts w:hint="eastAsia" w:ascii="楷体_GB2312" w:hAnsi="楷体_GB2312" w:eastAsia="楷体_GB2312" w:cs="楷体_GB2312"/>
          <w:sz w:val="22"/>
          <w:szCs w:val="28"/>
        </w:rPr>
      </w:pPr>
      <w:r>
        <w:rPr>
          <w:rFonts w:hint="eastAsia"/>
          <w:sz w:val="24"/>
          <w:lang w:val="en-US" w:eastAsia="zh-CN"/>
        </w:rPr>
        <w:t xml:space="preserve">                                                  </w:t>
      </w:r>
      <w:r>
        <w:rPr>
          <w:rFonts w:hint="eastAsia" w:ascii="楷体_GB2312" w:hAnsi="楷体_GB2312" w:eastAsia="楷体_GB2312" w:cs="楷体_GB2312"/>
          <w:sz w:val="22"/>
          <w:szCs w:val="28"/>
          <w:lang w:val="en-US" w:eastAsia="zh-CN"/>
        </w:rPr>
        <w:t xml:space="preserve"> </w:t>
      </w:r>
      <w:r>
        <w:rPr>
          <w:rFonts w:hint="eastAsia" w:ascii="楷体_GB2312" w:hAnsi="楷体_GB2312" w:eastAsia="楷体_GB2312" w:cs="楷体_GB2312"/>
          <w:sz w:val="28"/>
          <w:szCs w:val="28"/>
        </w:rPr>
        <w:t>单位：万元</w:t>
      </w:r>
    </w:p>
    <w:tbl>
      <w:tblPr>
        <w:tblStyle w:val="6"/>
        <w:tblW w:w="79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7"/>
        <w:gridCol w:w="1834"/>
        <w:gridCol w:w="3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2527" w:type="dxa"/>
            <w:vAlign w:val="center"/>
          </w:tcPr>
          <w:p>
            <w:pPr>
              <w:jc w:val="center"/>
              <w:rPr>
                <w:rFonts w:hint="eastAsia" w:ascii="黑体" w:hAnsi="黑体" w:eastAsia="黑体" w:cs="黑体"/>
                <w:sz w:val="32"/>
                <w:szCs w:val="32"/>
              </w:rPr>
            </w:pPr>
            <w:r>
              <w:rPr>
                <w:rFonts w:hint="eastAsia" w:ascii="黑体" w:hAnsi="黑体" w:eastAsia="黑体" w:cs="黑体"/>
                <w:sz w:val="32"/>
                <w:szCs w:val="32"/>
              </w:rPr>
              <w:t>地区</w:t>
            </w:r>
          </w:p>
        </w:tc>
        <w:tc>
          <w:tcPr>
            <w:tcW w:w="1834" w:type="dxa"/>
            <w:vAlign w:val="center"/>
          </w:tcPr>
          <w:p>
            <w:pPr>
              <w:snapToGrid w:val="0"/>
              <w:jc w:val="center"/>
              <w:rPr>
                <w:rFonts w:hint="eastAsia" w:ascii="黑体" w:hAnsi="黑体" w:eastAsia="黑体" w:cs="黑体"/>
                <w:sz w:val="32"/>
                <w:szCs w:val="32"/>
              </w:rPr>
            </w:pPr>
            <w:r>
              <w:rPr>
                <w:rFonts w:hint="eastAsia" w:ascii="黑体" w:hAnsi="黑体" w:eastAsia="黑体" w:cs="黑体"/>
                <w:sz w:val="32"/>
                <w:szCs w:val="32"/>
              </w:rPr>
              <w:t>金额</w:t>
            </w:r>
          </w:p>
        </w:tc>
        <w:tc>
          <w:tcPr>
            <w:tcW w:w="3591" w:type="dxa"/>
            <w:vAlign w:val="center"/>
          </w:tcPr>
          <w:p>
            <w:pPr>
              <w:snapToGrid w:val="0"/>
              <w:jc w:val="center"/>
              <w:rPr>
                <w:rFonts w:hint="eastAsia" w:ascii="黑体" w:hAnsi="黑体" w:eastAsia="黑体" w:cs="黑体"/>
                <w:sz w:val="32"/>
                <w:szCs w:val="32"/>
              </w:rPr>
            </w:pPr>
            <w:r>
              <w:rPr>
                <w:rFonts w:hint="eastAsia" w:ascii="黑体" w:hAnsi="黑体" w:eastAsia="黑体" w:cs="黑体"/>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2527" w:type="dxa"/>
            <w:tcBorders>
              <w:top w:val="single" w:color="auto" w:sz="4" w:space="0"/>
            </w:tcBorders>
            <w:vAlign w:val="center"/>
          </w:tcPr>
          <w:p>
            <w:pPr>
              <w:snapToGrid w:val="0"/>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随州高新区</w:t>
            </w:r>
          </w:p>
        </w:tc>
        <w:tc>
          <w:tcPr>
            <w:tcW w:w="1834" w:type="dxa"/>
            <w:vAlign w:val="center"/>
          </w:tcPr>
          <w:p>
            <w:pPr>
              <w:jc w:val="center"/>
              <w:rPr>
                <w:rFonts w:hint="default" w:eastAsia="仿宋_GB2312"/>
                <w:sz w:val="24"/>
                <w:szCs w:val="24"/>
                <w:lang w:val="en-US" w:eastAsia="zh-CN"/>
              </w:rPr>
            </w:pPr>
            <w:r>
              <w:rPr>
                <w:rFonts w:hint="eastAsia"/>
                <w:sz w:val="24"/>
                <w:szCs w:val="24"/>
                <w:lang w:val="en-US" w:eastAsia="zh-CN"/>
              </w:rPr>
              <w:t>93</w:t>
            </w:r>
          </w:p>
        </w:tc>
        <w:tc>
          <w:tcPr>
            <w:tcW w:w="3591" w:type="dxa"/>
            <w:vAlign w:val="center"/>
          </w:tcPr>
          <w:p>
            <w:pPr>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527" w:type="dxa"/>
            <w:vAlign w:val="center"/>
          </w:tcPr>
          <w:p>
            <w:pPr>
              <w:snapToGrid w:val="0"/>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随县</w:t>
            </w:r>
          </w:p>
        </w:tc>
        <w:tc>
          <w:tcPr>
            <w:tcW w:w="1834" w:type="dxa"/>
            <w:vAlign w:val="center"/>
          </w:tcPr>
          <w:p>
            <w:pPr>
              <w:jc w:val="center"/>
              <w:rPr>
                <w:rFonts w:hint="default"/>
                <w:sz w:val="24"/>
                <w:szCs w:val="24"/>
                <w:lang w:val="en-US"/>
              </w:rPr>
            </w:pPr>
            <w:r>
              <w:rPr>
                <w:rFonts w:hint="eastAsia"/>
                <w:sz w:val="24"/>
                <w:szCs w:val="24"/>
                <w:lang w:val="en-US" w:eastAsia="zh-CN"/>
              </w:rPr>
              <w:t>11</w:t>
            </w:r>
          </w:p>
        </w:tc>
        <w:tc>
          <w:tcPr>
            <w:tcW w:w="3591" w:type="dxa"/>
            <w:vAlign w:val="center"/>
          </w:tcPr>
          <w:p>
            <w:pPr>
              <w:jc w:val="center"/>
              <w:rPr>
                <w:sz w:val="24"/>
                <w:szCs w:val="24"/>
              </w:rPr>
            </w:pPr>
            <w:r>
              <w:rPr>
                <w:rFonts w:hint="eastAsia" w:asciiTheme="minorEastAsia" w:hAnsiTheme="minorEastAsia" w:eastAsiaTheme="minorEastAsia" w:cstheme="minorEastAsia"/>
                <w:sz w:val="24"/>
                <w:szCs w:val="24"/>
                <w:lang w:val="en-US" w:eastAsia="zh-CN"/>
              </w:rPr>
              <w:t>原</w:t>
            </w:r>
            <w:r>
              <w:rPr>
                <w:rFonts w:hint="eastAsia" w:asciiTheme="minorEastAsia" w:hAnsiTheme="minorEastAsia" w:eastAsiaTheme="minorEastAsia" w:cstheme="minorEastAsia"/>
                <w:sz w:val="24"/>
                <w:szCs w:val="24"/>
              </w:rPr>
              <w:t>大洪山风景名胜区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2527" w:type="dxa"/>
            <w:vAlign w:val="center"/>
          </w:tcPr>
          <w:p>
            <w:pPr>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合计</w:t>
            </w:r>
          </w:p>
        </w:tc>
        <w:tc>
          <w:tcPr>
            <w:tcW w:w="1834" w:type="dxa"/>
            <w:vAlign w:val="center"/>
          </w:tcPr>
          <w:p>
            <w:pPr>
              <w:jc w:val="center"/>
              <w:rPr>
                <w:rFonts w:hint="default" w:eastAsia="仿宋_GB2312"/>
                <w:sz w:val="24"/>
                <w:szCs w:val="24"/>
                <w:lang w:val="en-US" w:eastAsia="zh-CN"/>
              </w:rPr>
            </w:pPr>
            <w:r>
              <w:rPr>
                <w:rFonts w:hint="eastAsia"/>
                <w:sz w:val="24"/>
                <w:szCs w:val="24"/>
                <w:lang w:val="en-US" w:eastAsia="zh-CN"/>
              </w:rPr>
              <w:t>104</w:t>
            </w:r>
          </w:p>
        </w:tc>
        <w:tc>
          <w:tcPr>
            <w:tcW w:w="3591" w:type="dxa"/>
            <w:vAlign w:val="center"/>
          </w:tcPr>
          <w:p>
            <w:pPr>
              <w:jc w:val="center"/>
              <w:rPr>
                <w:sz w:val="24"/>
                <w:szCs w:val="24"/>
              </w:rPr>
            </w:pPr>
          </w:p>
        </w:tc>
      </w:tr>
    </w:tbl>
    <w:p>
      <w:pPr>
        <w:ind w:firstLine="2844" w:firstLineChars="900"/>
      </w:pPr>
    </w:p>
    <w:p/>
    <w:p/>
    <w:p/>
    <w:p/>
    <w:p/>
    <w:p/>
    <w:p/>
    <w:p/>
    <w:p/>
    <w:p/>
    <w:p/>
    <w:p>
      <w:p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rPr>
        <w:t>附件</w:t>
      </w:r>
      <w:r>
        <w:rPr>
          <w:rFonts w:hint="default" w:ascii="Times New Roman" w:hAnsi="Times New Roman" w:eastAsia="黑体" w:cs="Times New Roman"/>
          <w:sz w:val="32"/>
          <w:szCs w:val="32"/>
          <w:lang w:val="en-US" w:eastAsia="zh-CN"/>
        </w:rPr>
        <w:t>2</w:t>
      </w:r>
    </w:p>
    <w:p>
      <w:pPr>
        <w:rPr>
          <w:rFonts w:hint="default" w:ascii="Times New Roman" w:hAnsi="Times New Roman" w:eastAsia="黑体" w:cs="Times New Roman"/>
          <w:sz w:val="32"/>
          <w:szCs w:val="32"/>
          <w:lang w:val="en-US" w:eastAsia="zh-CN"/>
        </w:rPr>
      </w:pPr>
    </w:p>
    <w:p>
      <w:pPr>
        <w:snapToGrid w:val="0"/>
        <w:jc w:val="center"/>
        <w:rPr>
          <w:rFonts w:hint="eastAsia" w:ascii="Times New Roman" w:hAnsi="Times New Roman" w:eastAsia="方正大标宋简体" w:cs="Times New Roman"/>
          <w:bCs/>
          <w:sz w:val="40"/>
          <w:szCs w:val="40"/>
          <w:lang w:val="en-US" w:eastAsia="zh-CN"/>
        </w:rPr>
      </w:pPr>
      <w:r>
        <w:rPr>
          <w:rFonts w:hint="eastAsia" w:ascii="Times New Roman" w:hAnsi="Times New Roman" w:eastAsia="方正大标宋简体" w:cs="Times New Roman"/>
          <w:bCs/>
          <w:sz w:val="40"/>
          <w:szCs w:val="40"/>
          <w:lang w:val="en-US" w:eastAsia="zh-CN"/>
        </w:rPr>
        <w:t>2023年中央优抚对象补助经费</w:t>
      </w:r>
      <w:r>
        <w:rPr>
          <w:rFonts w:hint="eastAsia" w:eastAsia="方正大标宋简体" w:cs="Times New Roman"/>
          <w:bCs/>
          <w:sz w:val="40"/>
          <w:szCs w:val="40"/>
          <w:lang w:val="en-US" w:eastAsia="zh-CN"/>
        </w:rPr>
        <w:t>（</w:t>
      </w:r>
      <w:r>
        <w:rPr>
          <w:rFonts w:hint="eastAsia" w:ascii="Times New Roman" w:hAnsi="Times New Roman" w:eastAsia="方正大标宋简体" w:cs="Times New Roman"/>
          <w:bCs/>
          <w:sz w:val="40"/>
          <w:szCs w:val="40"/>
          <w:lang w:val="en-US" w:eastAsia="zh-CN"/>
        </w:rPr>
        <w:t>优抚对象</w:t>
      </w:r>
    </w:p>
    <w:p>
      <w:pPr>
        <w:snapToGrid w:val="0"/>
        <w:jc w:val="center"/>
        <w:rPr>
          <w:rFonts w:hint="eastAsia" w:ascii="Times New Roman" w:hAnsi="Times New Roman" w:eastAsia="方正大标宋简体" w:cs="Times New Roman"/>
          <w:bCs/>
          <w:sz w:val="40"/>
          <w:szCs w:val="40"/>
          <w:lang w:val="en-US" w:eastAsia="zh-CN"/>
        </w:rPr>
      </w:pPr>
      <w:r>
        <w:rPr>
          <w:rFonts w:hint="eastAsia" w:ascii="Times New Roman" w:hAnsi="Times New Roman" w:eastAsia="方正大标宋简体" w:cs="Times New Roman"/>
          <w:bCs/>
          <w:sz w:val="40"/>
          <w:szCs w:val="40"/>
          <w:lang w:val="en-US" w:eastAsia="zh-CN"/>
        </w:rPr>
        <w:t>定期补助</w:t>
      </w:r>
      <w:r>
        <w:rPr>
          <w:rFonts w:hint="eastAsia" w:eastAsia="方正大标宋简体" w:cs="Times New Roman"/>
          <w:bCs/>
          <w:sz w:val="40"/>
          <w:szCs w:val="40"/>
          <w:lang w:val="en-US" w:eastAsia="zh-CN"/>
        </w:rPr>
        <w:t>）</w:t>
      </w:r>
      <w:r>
        <w:rPr>
          <w:rFonts w:hint="eastAsia" w:ascii="Times New Roman" w:hAnsi="Times New Roman" w:eastAsia="方正大标宋简体" w:cs="Times New Roman"/>
          <w:bCs/>
          <w:sz w:val="40"/>
          <w:szCs w:val="40"/>
          <w:lang w:val="en-US" w:eastAsia="zh-CN"/>
        </w:rPr>
        <w:t>区域绩效目标表</w:t>
      </w:r>
    </w:p>
    <w:p>
      <w:pPr>
        <w:snapToGrid w:val="0"/>
        <w:jc w:val="center"/>
        <w:rPr>
          <w:rFonts w:hint="eastAsia" w:ascii="Times New Roman" w:hAnsi="Times New Roman" w:eastAsia="方正大标宋简体" w:cs="Times New Roman"/>
          <w:bCs/>
          <w:sz w:val="40"/>
          <w:szCs w:val="40"/>
          <w:lang w:val="en-US" w:eastAsia="zh-CN"/>
        </w:rPr>
      </w:pPr>
    </w:p>
    <w:tbl>
      <w:tblPr>
        <w:tblStyle w:val="6"/>
        <w:tblpPr w:leftFromText="180" w:rightFromText="180" w:vertAnchor="text" w:horzAnchor="page" w:tblpXSpec="center" w:tblpY="122"/>
        <w:tblOverlap w:val="never"/>
        <w:tblW w:w="8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6"/>
        <w:gridCol w:w="1188"/>
        <w:gridCol w:w="1125"/>
        <w:gridCol w:w="1300"/>
        <w:gridCol w:w="1312"/>
        <w:gridCol w:w="1250"/>
        <w:gridCol w:w="12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专项名称</w:t>
            </w:r>
          </w:p>
        </w:tc>
        <w:tc>
          <w:tcPr>
            <w:tcW w:w="7438" w:type="dxa"/>
            <w:gridSpan w:val="6"/>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优抚对象补助经费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中    央</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主管部门</w:t>
            </w:r>
          </w:p>
        </w:tc>
        <w:tc>
          <w:tcPr>
            <w:tcW w:w="7438" w:type="dxa"/>
            <w:gridSpan w:val="6"/>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退役军人事务部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Merge w:val="restart"/>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资金情况</w:t>
            </w:r>
          </w:p>
        </w:tc>
        <w:tc>
          <w:tcPr>
            <w:tcW w:w="2313" w:type="dxa"/>
            <w:gridSpan w:val="2"/>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年度金额：</w:t>
            </w:r>
          </w:p>
        </w:tc>
        <w:tc>
          <w:tcPr>
            <w:tcW w:w="5125" w:type="dxa"/>
            <w:gridSpan w:val="4"/>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Merge w:val="continue"/>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p>
        </w:tc>
        <w:tc>
          <w:tcPr>
            <w:tcW w:w="2313" w:type="dxa"/>
            <w:gridSpan w:val="2"/>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其中：中央补助</w:t>
            </w:r>
          </w:p>
        </w:tc>
        <w:tc>
          <w:tcPr>
            <w:tcW w:w="5125" w:type="dxa"/>
            <w:gridSpan w:val="4"/>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s="宋体"/>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Merge w:val="continue"/>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p>
        </w:tc>
        <w:tc>
          <w:tcPr>
            <w:tcW w:w="2313" w:type="dxa"/>
            <w:gridSpan w:val="2"/>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地方资金</w:t>
            </w:r>
          </w:p>
        </w:tc>
        <w:tc>
          <w:tcPr>
            <w:tcW w:w="5125" w:type="dxa"/>
            <w:gridSpan w:val="4"/>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年    度</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总体目标</w:t>
            </w:r>
          </w:p>
        </w:tc>
        <w:tc>
          <w:tcPr>
            <w:tcW w:w="7438" w:type="dxa"/>
            <w:gridSpan w:val="6"/>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通过发放优抚对象补助资金，使优抚对象等人员的基本生活得到有效保障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Merge w:val="restart"/>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总    计</w:t>
            </w:r>
          </w:p>
        </w:tc>
        <w:tc>
          <w:tcPr>
            <w:tcW w:w="4925" w:type="dxa"/>
            <w:gridSpan w:val="4"/>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产出指标</w:t>
            </w:r>
          </w:p>
        </w:tc>
        <w:tc>
          <w:tcPr>
            <w:tcW w:w="125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效益指标</w:t>
            </w:r>
          </w:p>
        </w:tc>
        <w:tc>
          <w:tcPr>
            <w:tcW w:w="1263"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满意度</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指  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306" w:type="dxa"/>
            <w:vMerge w:val="continue"/>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p>
        </w:tc>
        <w:tc>
          <w:tcPr>
            <w:tcW w:w="1188"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数量指标</w:t>
            </w:r>
          </w:p>
        </w:tc>
        <w:tc>
          <w:tcPr>
            <w:tcW w:w="2425" w:type="dxa"/>
            <w:gridSpan w:val="2"/>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质量指标</w:t>
            </w:r>
          </w:p>
        </w:tc>
        <w:tc>
          <w:tcPr>
            <w:tcW w:w="1312"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时效指标</w:t>
            </w:r>
          </w:p>
        </w:tc>
        <w:tc>
          <w:tcPr>
            <w:tcW w:w="125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社会效益</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指    标</w:t>
            </w:r>
          </w:p>
        </w:tc>
        <w:tc>
          <w:tcPr>
            <w:tcW w:w="1263"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服务对象</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满 意 度</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指    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9" w:hRule="atLeast"/>
          <w:jc w:val="center"/>
        </w:trPr>
        <w:tc>
          <w:tcPr>
            <w:tcW w:w="1306" w:type="dxa"/>
            <w:vMerge w:val="continue"/>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p>
        </w:tc>
        <w:tc>
          <w:tcPr>
            <w:tcW w:w="1188"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优抚对象抚恤补助资金发放人    数</w:t>
            </w:r>
          </w:p>
        </w:tc>
        <w:tc>
          <w:tcPr>
            <w:tcW w:w="1125"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经费足额拨付率</w:t>
            </w:r>
          </w:p>
        </w:tc>
        <w:tc>
          <w:tcPr>
            <w:tcW w:w="130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各类优抚对象抚恤补助标准按规定执  行  率</w:t>
            </w:r>
          </w:p>
        </w:tc>
        <w:tc>
          <w:tcPr>
            <w:tcW w:w="1312"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优抚对象抚恤补助资金及时拨付率</w:t>
            </w:r>
          </w:p>
        </w:tc>
        <w:tc>
          <w:tcPr>
            <w:tcW w:w="125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优抚对象生活情况</w:t>
            </w:r>
          </w:p>
        </w:tc>
        <w:tc>
          <w:tcPr>
            <w:tcW w:w="1263"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优抚对象</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满 意 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合    计</w:t>
            </w:r>
          </w:p>
        </w:tc>
        <w:tc>
          <w:tcPr>
            <w:tcW w:w="1188"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1581</w:t>
            </w:r>
          </w:p>
        </w:tc>
        <w:tc>
          <w:tcPr>
            <w:tcW w:w="1125"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100%</w:t>
            </w:r>
          </w:p>
        </w:tc>
        <w:tc>
          <w:tcPr>
            <w:tcW w:w="130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100%</w:t>
            </w:r>
          </w:p>
        </w:tc>
        <w:tc>
          <w:tcPr>
            <w:tcW w:w="1312"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100%</w:t>
            </w:r>
          </w:p>
        </w:tc>
        <w:tc>
          <w:tcPr>
            <w:tcW w:w="125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有效改善</w:t>
            </w:r>
          </w:p>
        </w:tc>
        <w:tc>
          <w:tcPr>
            <w:tcW w:w="1263"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306"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随州高新区</w:t>
            </w:r>
          </w:p>
        </w:tc>
        <w:tc>
          <w:tcPr>
            <w:tcW w:w="1188"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sz w:val="20"/>
                <w:szCs w:val="20"/>
                <w:vertAlign w:val="baseline"/>
                <w:lang w:val="en-US" w:eastAsia="zh-CN"/>
              </w:rPr>
            </w:pPr>
            <w:r>
              <w:rPr>
                <w:rFonts w:hint="default" w:ascii="Times New Roman" w:hAnsi="Times New Roman" w:eastAsia="宋体" w:cs="Times New Roman"/>
                <w:sz w:val="20"/>
                <w:szCs w:val="20"/>
                <w:vertAlign w:val="baseline"/>
                <w:lang w:val="en-US" w:eastAsia="zh-CN"/>
              </w:rPr>
              <w:t>1381</w:t>
            </w:r>
          </w:p>
        </w:tc>
        <w:tc>
          <w:tcPr>
            <w:tcW w:w="1125"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100%</w:t>
            </w:r>
          </w:p>
        </w:tc>
        <w:tc>
          <w:tcPr>
            <w:tcW w:w="130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100%</w:t>
            </w:r>
          </w:p>
        </w:tc>
        <w:tc>
          <w:tcPr>
            <w:tcW w:w="1312"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100%</w:t>
            </w:r>
          </w:p>
        </w:tc>
        <w:tc>
          <w:tcPr>
            <w:tcW w:w="125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有效改善</w:t>
            </w:r>
          </w:p>
        </w:tc>
        <w:tc>
          <w:tcPr>
            <w:tcW w:w="1263"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kern w:val="2"/>
                <w:sz w:val="20"/>
                <w:szCs w:val="20"/>
                <w:vertAlign w:val="baseline"/>
                <w:lang w:val="en-US" w:eastAsia="zh-CN" w:bidi="ar-SA"/>
              </w:rPr>
            </w:pPr>
            <w:r>
              <w:rPr>
                <w:rFonts w:hint="eastAsia" w:ascii="宋体" w:hAnsi="宋体" w:eastAsia="宋体" w:cs="宋体"/>
                <w:sz w:val="20"/>
                <w:szCs w:val="20"/>
                <w:vertAlign w:val="baseline"/>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06"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sz w:val="20"/>
                <w:szCs w:val="20"/>
                <w:vertAlign w:val="baseline"/>
                <w:lang w:val="en-US" w:eastAsia="zh-CN"/>
              </w:rPr>
            </w:pPr>
            <w:r>
              <w:rPr>
                <w:rFonts w:hint="eastAsia" w:ascii="宋体" w:hAnsi="宋体" w:eastAsia="宋体" w:cs="宋体"/>
                <w:sz w:val="20"/>
                <w:szCs w:val="20"/>
                <w:vertAlign w:val="baseline"/>
                <w:lang w:val="en-US" w:eastAsia="zh-CN"/>
              </w:rPr>
              <w:t>随县（原大洪山风景名胜区）</w:t>
            </w:r>
          </w:p>
        </w:tc>
        <w:tc>
          <w:tcPr>
            <w:tcW w:w="1188"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kern w:val="2"/>
                <w:sz w:val="20"/>
                <w:szCs w:val="20"/>
                <w:vertAlign w:val="baseline"/>
                <w:lang w:val="en-US" w:eastAsia="zh-CN" w:bidi="ar-SA"/>
              </w:rPr>
              <w:t>200</w:t>
            </w:r>
          </w:p>
        </w:tc>
        <w:tc>
          <w:tcPr>
            <w:tcW w:w="1125"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100%</w:t>
            </w:r>
          </w:p>
        </w:tc>
        <w:tc>
          <w:tcPr>
            <w:tcW w:w="130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100%</w:t>
            </w:r>
          </w:p>
        </w:tc>
        <w:tc>
          <w:tcPr>
            <w:tcW w:w="1312"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100%</w:t>
            </w:r>
          </w:p>
        </w:tc>
        <w:tc>
          <w:tcPr>
            <w:tcW w:w="1250"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Times New Roman" w:hAnsi="Times New Roman" w:eastAsia="宋体" w:cs="Times New Roman"/>
                <w:kern w:val="2"/>
                <w:sz w:val="20"/>
                <w:szCs w:val="20"/>
                <w:vertAlign w:val="baseline"/>
                <w:lang w:val="en-US" w:eastAsia="zh-CN" w:bidi="ar-SA"/>
              </w:rPr>
            </w:pPr>
            <w:r>
              <w:rPr>
                <w:rFonts w:hint="default" w:ascii="Times New Roman" w:hAnsi="Times New Roman" w:eastAsia="宋体" w:cs="Times New Roman"/>
                <w:sz w:val="20"/>
                <w:szCs w:val="20"/>
                <w:vertAlign w:val="baseline"/>
                <w:lang w:val="en-US" w:eastAsia="zh-CN"/>
              </w:rPr>
              <w:t>有效改善</w:t>
            </w:r>
          </w:p>
        </w:tc>
        <w:tc>
          <w:tcPr>
            <w:tcW w:w="1263" w:type="dxa"/>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kern w:val="2"/>
                <w:sz w:val="20"/>
                <w:szCs w:val="20"/>
                <w:vertAlign w:val="baseline"/>
                <w:lang w:val="en-US" w:eastAsia="zh-CN" w:bidi="ar-SA"/>
              </w:rPr>
            </w:pPr>
            <w:r>
              <w:rPr>
                <w:rFonts w:hint="eastAsia" w:ascii="宋体" w:hAnsi="宋体" w:eastAsia="宋体" w:cs="宋体"/>
                <w:sz w:val="20"/>
                <w:szCs w:val="20"/>
                <w:vertAlign w:val="baseline"/>
                <w:lang w:val="en-US" w:eastAsia="zh-CN"/>
              </w:rPr>
              <w:t>≥90%</w:t>
            </w:r>
          </w:p>
        </w:tc>
      </w:tr>
    </w:tbl>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方正小标宋简体" w:hAnsi="方正小标宋简体" w:eastAsia="方正小标宋简体" w:cs="方正小标宋简体"/>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240" w:lineRule="exact"/>
        <w:jc w:val="center"/>
        <w:textAlignment w:val="auto"/>
        <w:rPr>
          <w:rFonts w:hint="eastAsia" w:ascii="方正小标宋简体" w:hAnsi="方正小标宋简体" w:eastAsia="方正小标宋简体" w:cs="方正小标宋简体"/>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240" w:lineRule="exact"/>
        <w:jc w:val="center"/>
        <w:textAlignment w:val="auto"/>
        <w:rPr>
          <w:rFonts w:hint="eastAsia" w:ascii="方正小标宋简体" w:hAnsi="方正小标宋简体" w:eastAsia="方正小标宋简体" w:cs="方正小标宋简体"/>
          <w:sz w:val="21"/>
          <w:szCs w:val="21"/>
          <w:lang w:val="en-US" w:eastAsia="zh-CN"/>
        </w:rPr>
      </w:pPr>
    </w:p>
    <w:p>
      <w:pPr>
        <w:keepNext w:val="0"/>
        <w:keepLines w:val="0"/>
        <w:pageBreakBefore w:val="0"/>
        <w:widowControl w:val="0"/>
        <w:kinsoku/>
        <w:wordWrap/>
        <w:overflowPunct/>
        <w:topLinePunct w:val="0"/>
        <w:autoSpaceDE/>
        <w:autoSpaceDN/>
        <w:bidi w:val="0"/>
        <w:adjustRightInd/>
        <w:snapToGrid w:val="0"/>
        <w:spacing w:line="240" w:lineRule="exact"/>
        <w:jc w:val="center"/>
        <w:textAlignment w:val="auto"/>
        <w:rPr>
          <w:rFonts w:hint="eastAsia" w:ascii="方正小标宋简体" w:hAnsi="方正小标宋简体" w:eastAsia="方正小标宋简体" w:cs="方正小标宋简体"/>
          <w:sz w:val="21"/>
          <w:szCs w:val="21"/>
          <w:lang w:val="en-US" w:eastAsia="zh-CN"/>
        </w:rPr>
      </w:pPr>
    </w:p>
    <w:p>
      <w:pPr>
        <w:ind w:firstLine="316" w:firstLineChars="100"/>
        <w:rPr>
          <w:rFonts w:hint="eastAsia" w:ascii="仿宋" w:hAnsi="仿宋" w:eastAsia="仿宋" w:cs="仿宋"/>
          <w:lang w:val="en-US" w:eastAsia="zh-CN"/>
        </w:rPr>
      </w:pPr>
      <w:r>
        <w:rPr>
          <w:rFonts w:hint="eastAsia" w:ascii="黑体" w:eastAsia="黑体"/>
          <w:lang w:val="en-US" w:eastAsia="zh-CN"/>
        </w:rPr>
        <w:t>信息公开选项：</w:t>
      </w:r>
      <w:r>
        <w:rPr>
          <w:rFonts w:hint="default" w:ascii="Times New Roman" w:hAnsi="Times New Roman" w:eastAsia="仿宋_GB2312" w:cs="Times New Roman"/>
          <w:lang w:val="en-US" w:eastAsia="zh-CN"/>
        </w:rPr>
        <w:t>主动公开</w:t>
      </w:r>
    </w:p>
    <w:p>
      <w:pPr>
        <w:keepNext w:val="0"/>
        <w:keepLines w:val="0"/>
        <w:pageBreakBefore w:val="0"/>
        <w:widowControl w:val="0"/>
        <w:kinsoku/>
        <w:wordWrap/>
        <w:overflowPunct/>
        <w:topLinePunct w:val="0"/>
        <w:autoSpaceDE/>
        <w:autoSpaceDN/>
        <w:bidi w:val="0"/>
        <w:adjustRightInd/>
        <w:snapToGrid/>
        <w:ind w:firstLine="316" w:firstLineChars="100"/>
        <w:textAlignment w:val="auto"/>
      </w:pPr>
      <w:r>
        <w:rPr>
          <w:rFonts w:hint="default" w:ascii="Times New Roman" w:hAnsi="Times New Roman" w:eastAsia="仿宋_GB2312" w:cs="Times New Roman"/>
          <w:sz w:val="32"/>
        </w:rPr>
        <mc:AlternateContent>
          <mc:Choice Requires="wps">
            <w:drawing>
              <wp:anchor distT="0" distB="0" distL="114300" distR="114300" simplePos="0" relativeHeight="251659264" behindDoc="0" locked="0" layoutInCell="1" allowOverlap="1">
                <wp:simplePos x="0" y="0"/>
                <wp:positionH relativeFrom="column">
                  <wp:posOffset>-64770</wp:posOffset>
                </wp:positionH>
                <wp:positionV relativeFrom="paragraph">
                  <wp:posOffset>10160</wp:posOffset>
                </wp:positionV>
                <wp:extent cx="5683250" cy="0"/>
                <wp:effectExtent l="0" t="0" r="0" b="0"/>
                <wp:wrapNone/>
                <wp:docPr id="1" name="直接连接符 1"/>
                <wp:cNvGraphicFramePr/>
                <a:graphic xmlns:a="http://schemas.openxmlformats.org/drawingml/2006/main">
                  <a:graphicData uri="http://schemas.microsoft.com/office/word/2010/wordprocessingShape">
                    <wps:wsp>
                      <wps:cNvCnPr/>
                      <wps:spPr>
                        <a:xfrm>
                          <a:off x="934720" y="8942705"/>
                          <a:ext cx="5683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5.1pt;margin-top:0.8pt;height:0pt;width:447.5pt;z-index:251659264;mso-width-relative:page;mso-height-relative:page;" filled="f" stroked="t" coordsize="21600,21600" o:gfxdata="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Au&#10;xkKo0wAAAAcBAAAPAAAAAAAAAAEAIAAAACIAAABkcnMvZG93bnJldi54bWxQSwECFAAUAAAACACH&#10;TuJAY0bWivABAAC8AwAADgAAAAAAAAABACAAAAAiAQAAZHJzL2Uyb0RvYy54bWxQSwUGAAAAAAYA&#10;BgBZAQAAhAUAAAAA&#10;">
                <v:fill on="f" focussize="0,0"/>
                <v:stroke weight="0.5pt" color="#000000 [3200]" miterlimit="8" joinstyle="miter"/>
                <v:imagedata o:title=""/>
                <o:lock v:ext="edit" aspectratio="f"/>
              </v:line>
            </w:pict>
          </mc:Fallback>
        </mc:AlternateContent>
      </w:r>
      <w:r>
        <w:rPr>
          <w:rFonts w:hint="default" w:ascii="Times New Roman" w:hAnsi="Times New Roman" w:eastAsia="仿宋_GB2312" w:cs="Times New Roman"/>
          <w:sz w:val="32"/>
        </w:rPr>
        <mc:AlternateContent>
          <mc:Choice Requires="wps">
            <w:drawing>
              <wp:anchor distT="0" distB="0" distL="114300" distR="114300" simplePos="0" relativeHeight="251660288" behindDoc="0" locked="0" layoutInCell="1" allowOverlap="1">
                <wp:simplePos x="0" y="0"/>
                <wp:positionH relativeFrom="column">
                  <wp:posOffset>-86995</wp:posOffset>
                </wp:positionH>
                <wp:positionV relativeFrom="paragraph">
                  <wp:posOffset>353060</wp:posOffset>
                </wp:positionV>
                <wp:extent cx="568325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83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6.85pt;margin-top:27.8pt;height:0pt;width:447.5pt;z-index:251660288;mso-width-relative:page;mso-height-relative:page;" filled="f" stroked="t" coordsize="21600,21600" o:gfxdata="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8JizLdcAAAAJAQAA&#10;DwAAAAAAAAABACAAAAAiAAAAZHJzL2Rvd25yZXYueG1sUEsBAhQAFAAAAAgAh07iQK2gd/3hAQAA&#10;sQMAAA4AAAAAAAAAAQAgAAAAJgEAAGRycy9lMm9Eb2MueG1sUEsFBgAAAAAGAAYAWQEAAHkFAAAA&#10;AA==&#10;">
                <v:fill on="f" focussize="0,0"/>
                <v:stroke weight="0.5pt" color="#000000 [3200]" miterlimit="8" joinstyle="miter"/>
                <v:imagedata o:title=""/>
                <o:lock v:ext="edit" aspectratio="f"/>
              </v:line>
            </w:pict>
          </mc:Fallback>
        </mc:AlternateContent>
      </w:r>
      <w:r>
        <w:rPr>
          <w:rFonts w:hint="default" w:ascii="Times New Roman" w:hAnsi="Times New Roman" w:eastAsia="仿宋_GB2312" w:cs="Times New Roman"/>
          <w:lang w:val="en-US" w:eastAsia="zh-CN"/>
        </w:rPr>
        <w:t xml:space="preserve">随州市财政局办公室                 </w:t>
      </w:r>
      <w:r>
        <w:rPr>
          <w:rFonts w:hint="eastAsia" w:cs="Times New Roman"/>
          <w:lang w:val="en-US" w:eastAsia="zh-CN"/>
        </w:rPr>
        <w:t xml:space="preserve"> </w:t>
      </w:r>
      <w:r>
        <w:rPr>
          <w:rFonts w:hint="default" w:ascii="Times New Roman" w:hAnsi="Times New Roman" w:eastAsia="仿宋_GB2312" w:cs="Times New Roman"/>
          <w:lang w:val="en-US" w:eastAsia="zh-CN"/>
        </w:rPr>
        <w:t>2024年</w:t>
      </w:r>
      <w:r>
        <w:rPr>
          <w:rFonts w:hint="eastAsia" w:cs="Times New Roman"/>
          <w:lang w:val="en-US" w:eastAsia="zh-CN"/>
        </w:rPr>
        <w:t>3</w:t>
      </w:r>
      <w:r>
        <w:rPr>
          <w:rFonts w:hint="default" w:ascii="Times New Roman" w:hAnsi="Times New Roman" w:eastAsia="仿宋_GB2312" w:cs="Times New Roman"/>
          <w:lang w:val="en-US" w:eastAsia="zh-CN"/>
        </w:rPr>
        <w:t>月</w:t>
      </w:r>
      <w:r>
        <w:rPr>
          <w:rFonts w:hint="eastAsia" w:cs="Times New Roman"/>
          <w:lang w:val="en-US" w:eastAsia="zh-CN"/>
        </w:rPr>
        <w:t>5</w:t>
      </w:r>
      <w:r>
        <w:rPr>
          <w:rFonts w:hint="default" w:ascii="Times New Roman" w:hAnsi="Times New Roman" w:eastAsia="仿宋_GB2312" w:cs="Times New Roman"/>
          <w:lang w:val="en-US" w:eastAsia="zh-CN"/>
        </w:rPr>
        <w:t>印发</w:t>
      </w:r>
    </w:p>
    <w:sectPr>
      <w:headerReference r:id="rId4" w:type="first"/>
      <w:footerReference r:id="rId5" w:type="first"/>
      <w:headerReference r:id="rId3" w:type="default"/>
      <w:pgSz w:w="11906" w:h="16838"/>
      <w:pgMar w:top="1984" w:right="1587" w:bottom="1814" w:left="1587" w:header="851" w:footer="1417" w:gutter="0"/>
      <w:cols w:space="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大标宋简体">
    <w:panose1 w:val="03000509000000000000"/>
    <w:charset w:val="86"/>
    <w:family w:val="auto"/>
    <w:pitch w:val="default"/>
    <w:sig w:usb0="00000001" w:usb1="080E0000" w:usb2="00000000"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yMDI0Mzg1NmNlYTVkZDg1MTEwZWI2NzY0Zjg4NzUifQ=="/>
    <w:docVar w:name="KSO_WPS_MARK_KEY" w:val="a14a4975-a266-44f6-8527-4cfd3f3e2495"/>
  </w:docVars>
  <w:rsids>
    <w:rsidRoot w:val="70A55AB2"/>
    <w:rsid w:val="0A5402C3"/>
    <w:rsid w:val="12DB1B83"/>
    <w:rsid w:val="133406B6"/>
    <w:rsid w:val="22707B89"/>
    <w:rsid w:val="23353491"/>
    <w:rsid w:val="2ABE5720"/>
    <w:rsid w:val="33124B58"/>
    <w:rsid w:val="38344E22"/>
    <w:rsid w:val="3FA71E38"/>
    <w:rsid w:val="464F51F1"/>
    <w:rsid w:val="496E5DD2"/>
    <w:rsid w:val="4E9B5E82"/>
    <w:rsid w:val="50D23849"/>
    <w:rsid w:val="52140592"/>
    <w:rsid w:val="539E540B"/>
    <w:rsid w:val="5511700B"/>
    <w:rsid w:val="61D52F42"/>
    <w:rsid w:val="6C562B32"/>
    <w:rsid w:val="6EC83057"/>
    <w:rsid w:val="706B5CC1"/>
    <w:rsid w:val="70A55AB2"/>
    <w:rsid w:val="70FA16C8"/>
    <w:rsid w:val="7725377C"/>
    <w:rsid w:val="78666360"/>
    <w:rsid w:val="79F317CD"/>
    <w:rsid w:val="7AF61D59"/>
    <w:rsid w:val="7EB02B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1173</Words>
  <Characters>1291</Characters>
  <Lines>0</Lines>
  <Paragraphs>0</Paragraphs>
  <TotalTime>29</TotalTime>
  <ScaleCrop>false</ScaleCrop>
  <LinksUpToDate>false</LinksUpToDate>
  <CharactersWithSpaces>1482</CharactersWithSpaces>
  <Application>WPS Office_11.1.0.15319_F1E327BC-269C-435d-A152-05C5408002CA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2021-12-13T06:47:00Z</dcterms:created>
  <dc:creator>UserPASS</dc:creator>
  <cp:lastModifiedBy>WPS_1601385079</cp:lastModifiedBy>
  <cp:lastPrinted>2024-03-05T08:17:27Z</cp:lastPrinted>
  <dcterms:modified xsi:type="dcterms:W3CDTF">2024-03-05T09:01:48Z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2052-11.1.0.15319</vt:lpwstr>
  </property>
  <property fmtid="{D5CDD505-2E9C-101B-9397-08002B2CF9AE}" pid="3" name="ICV">
    <vt:lpwstr>F0210A45F3A448FFA2D487CD343BAA29</vt:lpwstr>
  </property>
</Properties>
</file>