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20" w:lineRule="exact"/>
        <w:ind w:left="0" w:leftChars="0" w:firstLine="640" w:firstLineChars="200"/>
        <w:jc w:val="both"/>
        <w:textAlignment w:val="auto"/>
        <w:rPr>
          <w:rFonts w:hint="default" w:ascii="Times New Roman" w:hAnsi="Times New Roman" w:eastAsia="仿宋_GB2312" w:cs="Times New Roman"/>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20" w:lineRule="exact"/>
        <w:ind w:left="0" w:leftChars="0" w:firstLine="640" w:firstLineChars="200"/>
        <w:jc w:val="both"/>
        <w:textAlignment w:val="auto"/>
        <w:rPr>
          <w:rFonts w:hint="default" w:ascii="Times New Roman" w:hAnsi="Times New Roman" w:eastAsia="仿宋_GB2312" w:cs="Times New Roman"/>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20" w:lineRule="exact"/>
        <w:ind w:left="0" w:leftChars="0" w:firstLine="640" w:firstLineChars="200"/>
        <w:jc w:val="both"/>
        <w:textAlignment w:val="auto"/>
        <w:rPr>
          <w:rFonts w:hint="default" w:ascii="Times New Roman" w:hAnsi="Times New Roman" w:eastAsia="仿宋_GB2312" w:cs="Times New Roman"/>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20" w:lineRule="exact"/>
        <w:ind w:left="0" w:leftChars="0" w:firstLine="640" w:firstLineChars="200"/>
        <w:jc w:val="right"/>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0"/>
          <w:sz w:val="32"/>
          <w:szCs w:val="32"/>
          <w:lang w:val="en-US" w:eastAsia="zh-CN"/>
        </w:rPr>
        <w:t>随财函〔2023〕</w:t>
      </w:r>
      <w:r>
        <w:rPr>
          <w:rFonts w:hint="eastAsia" w:ascii="Times New Roman" w:hAnsi="Times New Roman" w:eastAsia="仿宋_GB2312" w:cs="Times New Roman"/>
          <w:spacing w:val="0"/>
          <w:sz w:val="32"/>
          <w:szCs w:val="32"/>
          <w:lang w:val="en-US" w:eastAsia="zh-CN"/>
        </w:rPr>
        <w:t>318</w:t>
      </w:r>
      <w:r>
        <w:rPr>
          <w:rFonts w:hint="default" w:ascii="Times New Roman" w:hAnsi="Times New Roman" w:eastAsia="仿宋_GB2312" w:cs="Times New Roman"/>
          <w:spacing w:val="0"/>
          <w:sz w:val="32"/>
          <w:szCs w:val="32"/>
          <w:lang w:val="en-US" w:eastAsia="zh-CN"/>
        </w:rPr>
        <w:t>号</w:t>
      </w:r>
    </w:p>
    <w:p>
      <w:pPr>
        <w:keepNext w:val="0"/>
        <w:keepLines w:val="0"/>
        <w:pageBreakBefore w:val="0"/>
        <w:widowControl w:val="0"/>
        <w:kinsoku/>
        <w:wordWrap/>
        <w:overflowPunct/>
        <w:topLinePunct w:val="0"/>
        <w:autoSpaceDE/>
        <w:autoSpaceDN/>
        <w:bidi w:val="0"/>
        <w:adjustRightInd/>
        <w:snapToGrid/>
        <w:spacing w:line="620" w:lineRule="exact"/>
        <w:ind w:left="0" w:leftChars="0" w:firstLine="640" w:firstLineChars="200"/>
        <w:jc w:val="both"/>
        <w:textAlignment w:val="auto"/>
        <w:rPr>
          <w:rFonts w:hint="default" w:ascii="Times New Roman" w:hAnsi="Times New Roman" w:eastAsia="仿宋_GB2312" w:cs="Times New Roman"/>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eastAsia" w:ascii="方正小标宋简体" w:hAnsi="方正小标宋简体" w:eastAsia="方正小标宋简体" w:cs="方正小标宋简体"/>
          <w:b w:val="0"/>
          <w:bCs w:val="0"/>
          <w:spacing w:val="0"/>
          <w:sz w:val="40"/>
          <w:szCs w:val="40"/>
          <w:lang w:val="en-US" w:eastAsia="zh-CN"/>
        </w:rPr>
      </w:pPr>
      <w:r>
        <w:rPr>
          <w:rFonts w:hint="eastAsia" w:ascii="方正小标宋简体" w:hAnsi="方正小标宋简体" w:eastAsia="方正小标宋简体" w:cs="方正小标宋简体"/>
          <w:b w:val="0"/>
          <w:bCs w:val="0"/>
          <w:spacing w:val="0"/>
          <w:sz w:val="40"/>
          <w:szCs w:val="40"/>
          <w:lang w:val="en-US" w:eastAsia="zh-CN"/>
        </w:rPr>
        <w:t>关于提前下达2024年中央优抚对象</w:t>
      </w: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eastAsia" w:ascii="方正小标宋简体" w:hAnsi="方正小标宋简体" w:eastAsia="方正小标宋简体" w:cs="方正小标宋简体"/>
          <w:b w:val="0"/>
          <w:bCs w:val="0"/>
          <w:spacing w:val="0"/>
          <w:sz w:val="40"/>
          <w:szCs w:val="40"/>
          <w:lang w:val="en-US" w:eastAsia="zh-CN"/>
        </w:rPr>
      </w:pPr>
      <w:r>
        <w:rPr>
          <w:rFonts w:hint="eastAsia" w:ascii="方正小标宋简体" w:hAnsi="方正小标宋简体" w:eastAsia="方正小标宋简体" w:cs="方正小标宋简体"/>
          <w:b w:val="0"/>
          <w:bCs w:val="0"/>
          <w:spacing w:val="0"/>
          <w:sz w:val="40"/>
          <w:szCs w:val="40"/>
          <w:lang w:val="en-US" w:eastAsia="zh-CN"/>
        </w:rPr>
        <w:t>医疗保障经费的通知</w:t>
      </w:r>
    </w:p>
    <w:p>
      <w:pPr>
        <w:keepNext w:val="0"/>
        <w:keepLines w:val="0"/>
        <w:pageBreakBefore w:val="0"/>
        <w:widowControl w:val="0"/>
        <w:kinsoku/>
        <w:wordWrap/>
        <w:overflowPunct/>
        <w:topLinePunct w:val="0"/>
        <w:autoSpaceDE/>
        <w:autoSpaceDN/>
        <w:bidi w:val="0"/>
        <w:adjustRightInd/>
        <w:snapToGrid/>
        <w:spacing w:line="620" w:lineRule="exact"/>
        <w:ind w:left="0" w:leftChars="0" w:firstLine="640" w:firstLineChars="200"/>
        <w:jc w:val="both"/>
        <w:textAlignment w:val="auto"/>
        <w:rPr>
          <w:rFonts w:hint="default" w:ascii="Times New Roman" w:hAnsi="Times New Roman" w:eastAsia="仿宋_GB2312" w:cs="Times New Roman"/>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20" w:lineRule="exact"/>
        <w:ind w:left="0" w:leftChars="0" w:firstLine="1600" w:firstLineChars="500"/>
        <w:jc w:val="both"/>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0"/>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20" w:lineRule="exact"/>
        <w:ind w:left="0" w:leftChars="0" w:firstLine="640" w:firstLineChars="200"/>
        <w:jc w:val="both"/>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0"/>
          <w:sz w:val="32"/>
          <w:szCs w:val="32"/>
          <w:lang w:val="en-US" w:eastAsia="zh-CN"/>
        </w:rPr>
        <w:t>根据《省财政厅关于提前下达2024年中央优抚对象医疗保障经费的通知》（鄂财社发〔2023〕112号）文件精神，现下达你地2024年中央优抚对象医疗保障经费   万元。资金支出列入2024年政府收支分类科目“210卫生健康支出”，项目代码：Z135080000026。通过2024年财政年终结算办理。现将有关事项通知如下：</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left="0" w:leftChars="0" w:firstLine="640" w:firstLineChars="200"/>
        <w:jc w:val="both"/>
        <w:textAlignment w:val="auto"/>
        <w:rPr>
          <w:rFonts w:hint="default" w:ascii="Times New Roman" w:hAnsi="Times New Roman" w:eastAsia="仿宋_GB2312" w:cs="Times New Roman"/>
          <w:spacing w:val="0"/>
          <w:sz w:val="32"/>
          <w:szCs w:val="32"/>
          <w:lang w:val="en-US" w:eastAsia="zh-CN"/>
        </w:rPr>
      </w:pPr>
      <w:r>
        <w:rPr>
          <w:rFonts w:hint="eastAsia" w:ascii="Times New Roman" w:hAnsi="Times New Roman" w:eastAsia="仿宋_GB2312" w:cs="Times New Roman"/>
          <w:spacing w:val="0"/>
          <w:kern w:val="2"/>
          <w:sz w:val="32"/>
          <w:szCs w:val="32"/>
          <w:lang w:val="en-US" w:eastAsia="zh-CN" w:bidi="ar-SA"/>
        </w:rPr>
        <w:t>一、</w:t>
      </w:r>
      <w:r>
        <w:rPr>
          <w:rFonts w:hint="default" w:ascii="Times New Roman" w:hAnsi="Times New Roman" w:eastAsia="仿宋_GB2312" w:cs="Times New Roman"/>
          <w:spacing w:val="0"/>
          <w:sz w:val="32"/>
          <w:szCs w:val="32"/>
          <w:lang w:val="en-US" w:eastAsia="zh-CN"/>
        </w:rPr>
        <w:t>此次安排的资金主要用于帮助一至六级残疾军人参加城镇职工基本医疗保险和建立补充医疗保障、七至十级残疾军人旧伤复发医疗补助，以及落实优抚对象医疗优惠待遇等方面。</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left="0" w:leftChars="0" w:firstLine="640" w:firstLineChars="200"/>
        <w:jc w:val="both"/>
        <w:textAlignment w:val="auto"/>
        <w:rPr>
          <w:rFonts w:hint="default" w:ascii="Times New Roman" w:hAnsi="Times New Roman" w:eastAsia="仿宋_GB2312" w:cs="Times New Roman"/>
          <w:spacing w:val="0"/>
          <w:sz w:val="32"/>
          <w:szCs w:val="32"/>
          <w:lang w:val="en-US" w:eastAsia="zh-CN"/>
        </w:rPr>
      </w:pPr>
      <w:r>
        <w:rPr>
          <w:rFonts w:hint="eastAsia" w:ascii="Times New Roman" w:hAnsi="Times New Roman" w:eastAsia="仿宋_GB2312" w:cs="Times New Roman"/>
          <w:spacing w:val="0"/>
          <w:kern w:val="2"/>
          <w:sz w:val="32"/>
          <w:szCs w:val="32"/>
          <w:lang w:val="en-US" w:eastAsia="zh-CN" w:bidi="ar-SA"/>
        </w:rPr>
        <w:t>二、</w:t>
      </w:r>
      <w:r>
        <w:rPr>
          <w:rFonts w:hint="default" w:ascii="Times New Roman" w:hAnsi="Times New Roman" w:eastAsia="仿宋_GB2312" w:cs="Times New Roman"/>
          <w:spacing w:val="0"/>
          <w:sz w:val="32"/>
          <w:szCs w:val="32"/>
          <w:lang w:val="en-US" w:eastAsia="zh-CN"/>
        </w:rPr>
        <w:t>此次下达的补助资金列入直达资金管理，该项直达资金标识为“01中央直达资金”，贯穿资金分配、拨付、使用等整个环节，且保持不变。各地应及时在指标管理系统中登录有关指标和直达资金标识，导入直达资金监控系统，确保数据真实、账目清晰、流向明确。</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left="0" w:leftChars="0" w:firstLine="640" w:firstLineChars="200"/>
        <w:jc w:val="both"/>
        <w:textAlignment w:val="auto"/>
        <w:rPr>
          <w:rFonts w:hint="default" w:ascii="Times New Roman" w:hAnsi="Times New Roman" w:eastAsia="仿宋_GB2312" w:cs="Times New Roman"/>
          <w:spacing w:val="0"/>
          <w:sz w:val="32"/>
          <w:szCs w:val="32"/>
          <w:lang w:val="en-US" w:eastAsia="zh-CN"/>
        </w:rPr>
      </w:pPr>
      <w:r>
        <w:rPr>
          <w:rFonts w:hint="eastAsia" w:ascii="Times New Roman" w:hAnsi="Times New Roman" w:eastAsia="仿宋_GB2312" w:cs="Times New Roman"/>
          <w:spacing w:val="0"/>
          <w:kern w:val="2"/>
          <w:sz w:val="32"/>
          <w:szCs w:val="32"/>
          <w:lang w:val="en-US" w:eastAsia="zh-CN" w:bidi="ar-SA"/>
        </w:rPr>
        <w:t>三、</w:t>
      </w:r>
      <w:r>
        <w:rPr>
          <w:rFonts w:hint="default" w:ascii="Times New Roman" w:hAnsi="Times New Roman" w:eastAsia="仿宋_GB2312" w:cs="Times New Roman"/>
          <w:spacing w:val="0"/>
          <w:sz w:val="32"/>
          <w:szCs w:val="32"/>
          <w:lang w:val="en-US" w:eastAsia="zh-CN"/>
        </w:rPr>
        <w:t>请你地按照《财政部关于提前通知转移支付指标有关问题的通知》（财预〔2010〕409号）等文件要求，做好预算编制、指标安排等相关工作。</w:t>
      </w:r>
    </w:p>
    <w:p>
      <w:pPr>
        <w:keepNext w:val="0"/>
        <w:keepLines w:val="0"/>
        <w:pageBreakBefore w:val="0"/>
        <w:widowControl w:val="0"/>
        <w:kinsoku/>
        <w:wordWrap/>
        <w:overflowPunct/>
        <w:topLinePunct w:val="0"/>
        <w:autoSpaceDE/>
        <w:autoSpaceDN/>
        <w:bidi w:val="0"/>
        <w:adjustRightInd/>
        <w:snapToGrid/>
        <w:spacing w:line="620" w:lineRule="exact"/>
        <w:ind w:left="0" w:leftChars="0" w:firstLine="640" w:firstLineChars="200"/>
        <w:jc w:val="both"/>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0"/>
          <w:sz w:val="32"/>
          <w:szCs w:val="32"/>
          <w:lang w:val="en-US" w:eastAsia="zh-CN"/>
        </w:rPr>
        <w:t>四、请按照《中共中央 国务院关于全面实施预算绩效管理的意见》的要求，切实提高财政资金使用效益，在组织预算执行中对照你地区域绩效目标做好绩效监控，确保年度绩效目标如期实现。</w:t>
      </w:r>
    </w:p>
    <w:p>
      <w:pPr>
        <w:keepNext w:val="0"/>
        <w:keepLines w:val="0"/>
        <w:pageBreakBefore w:val="0"/>
        <w:widowControl w:val="0"/>
        <w:kinsoku/>
        <w:wordWrap/>
        <w:overflowPunct/>
        <w:topLinePunct w:val="0"/>
        <w:autoSpaceDE/>
        <w:autoSpaceDN/>
        <w:bidi w:val="0"/>
        <w:adjustRightInd/>
        <w:snapToGrid/>
        <w:spacing w:line="620" w:lineRule="exact"/>
        <w:ind w:left="0" w:leftChars="0" w:firstLine="640" w:firstLineChars="200"/>
        <w:jc w:val="both"/>
        <w:textAlignment w:val="auto"/>
        <w:rPr>
          <w:rFonts w:hint="default" w:ascii="Times New Roman" w:hAnsi="Times New Roman" w:eastAsia="仿宋_GB2312" w:cs="Times New Roman"/>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20" w:lineRule="exact"/>
        <w:ind w:left="0" w:leftChars="0" w:firstLine="640" w:firstLineChars="200"/>
        <w:jc w:val="both"/>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0"/>
          <w:sz w:val="32"/>
          <w:szCs w:val="32"/>
          <w:lang w:val="en-US" w:eastAsia="zh-CN"/>
        </w:rPr>
        <w:t>附件：1.2024年中央优抚对象医疗保障经费分配表</w:t>
      </w:r>
    </w:p>
    <w:p>
      <w:pPr>
        <w:keepNext w:val="0"/>
        <w:keepLines w:val="0"/>
        <w:pageBreakBefore w:val="0"/>
        <w:widowControl w:val="0"/>
        <w:tabs>
          <w:tab w:val="left" w:pos="1260"/>
        </w:tabs>
        <w:kinsoku/>
        <w:wordWrap/>
        <w:overflowPunct/>
        <w:topLinePunct w:val="0"/>
        <w:autoSpaceDE/>
        <w:autoSpaceDN/>
        <w:bidi w:val="0"/>
        <w:adjustRightInd/>
        <w:snapToGrid/>
        <w:spacing w:line="620" w:lineRule="exact"/>
        <w:ind w:left="0" w:leftChars="0" w:firstLine="1600" w:firstLineChars="500"/>
        <w:jc w:val="both"/>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0"/>
          <w:sz w:val="32"/>
          <w:szCs w:val="32"/>
          <w:lang w:val="en-US" w:eastAsia="zh-CN"/>
        </w:rPr>
        <w:t>2.优抚对象医疗保障经费区域绩效目标表</w:t>
      </w:r>
    </w:p>
    <w:p>
      <w:pPr>
        <w:keepNext w:val="0"/>
        <w:keepLines w:val="0"/>
        <w:pageBreakBefore w:val="0"/>
        <w:widowControl w:val="0"/>
        <w:kinsoku/>
        <w:wordWrap/>
        <w:overflowPunct/>
        <w:topLinePunct w:val="0"/>
        <w:autoSpaceDE/>
        <w:autoSpaceDN/>
        <w:bidi w:val="0"/>
        <w:adjustRightInd/>
        <w:snapToGrid/>
        <w:spacing w:line="620" w:lineRule="exact"/>
        <w:ind w:left="0" w:leftChars="0" w:firstLine="640" w:firstLineChars="200"/>
        <w:jc w:val="both"/>
        <w:textAlignment w:val="auto"/>
        <w:rPr>
          <w:rFonts w:hint="default" w:ascii="Times New Roman" w:hAnsi="Times New Roman" w:eastAsia="仿宋_GB2312" w:cs="Times New Roman"/>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20" w:lineRule="exact"/>
        <w:ind w:left="0" w:leftChars="0" w:firstLine="640" w:firstLineChars="200"/>
        <w:jc w:val="both"/>
        <w:textAlignment w:val="auto"/>
        <w:rPr>
          <w:rFonts w:hint="default" w:ascii="Times New Roman" w:hAnsi="Times New Roman" w:eastAsia="仿宋_GB2312" w:cs="Times New Roman"/>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20" w:lineRule="exact"/>
        <w:ind w:left="0" w:leftChars="0" w:firstLine="640" w:firstLineChars="200"/>
        <w:jc w:val="both"/>
        <w:textAlignment w:val="auto"/>
        <w:rPr>
          <w:rFonts w:hint="default" w:ascii="Times New Roman" w:hAnsi="Times New Roman" w:eastAsia="仿宋_GB2312" w:cs="Times New Roman"/>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20" w:lineRule="exact"/>
        <w:ind w:left="0" w:leftChars="0" w:firstLine="720" w:firstLineChars="200"/>
        <w:jc w:val="both"/>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20"/>
          <w:sz w:val="32"/>
          <w:szCs w:val="32"/>
          <w:lang w:val="en-US" w:eastAsia="zh-CN"/>
        </w:rPr>
        <w:t>随州市财政局</w:t>
      </w:r>
      <w:r>
        <w:rPr>
          <w:rFonts w:hint="default" w:ascii="Times New Roman" w:hAnsi="Times New Roman" w:eastAsia="仿宋_GB2312" w:cs="Times New Roman"/>
          <w:spacing w:val="0"/>
          <w:sz w:val="32"/>
          <w:szCs w:val="32"/>
          <w:lang w:val="en-US" w:eastAsia="zh-CN"/>
        </w:rPr>
        <w:t xml:space="preserve">          随州市退役军人事务局</w:t>
      </w:r>
    </w:p>
    <w:p>
      <w:pPr>
        <w:keepNext w:val="0"/>
        <w:keepLines w:val="0"/>
        <w:pageBreakBefore w:val="0"/>
        <w:widowControl w:val="0"/>
        <w:kinsoku/>
        <w:wordWrap/>
        <w:overflowPunct/>
        <w:topLinePunct w:val="0"/>
        <w:autoSpaceDE/>
        <w:autoSpaceDN/>
        <w:bidi w:val="0"/>
        <w:adjustRightInd/>
        <w:snapToGrid/>
        <w:spacing w:line="620" w:lineRule="exact"/>
        <w:ind w:left="0" w:leftChars="0" w:firstLine="4800" w:firstLineChars="1500"/>
        <w:jc w:val="both"/>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0"/>
          <w:sz w:val="32"/>
          <w:szCs w:val="32"/>
          <w:lang w:val="en-US" w:eastAsia="zh-CN"/>
        </w:rPr>
        <w:t>2023年12月</w:t>
      </w:r>
      <w:r>
        <w:rPr>
          <w:rFonts w:hint="eastAsia" w:ascii="Times New Roman" w:hAnsi="Times New Roman" w:eastAsia="仿宋_GB2312" w:cs="Times New Roman"/>
          <w:spacing w:val="0"/>
          <w:sz w:val="32"/>
          <w:szCs w:val="32"/>
          <w:lang w:val="en-US" w:eastAsia="zh-CN"/>
        </w:rPr>
        <w:t>25</w:t>
      </w:r>
      <w:r>
        <w:rPr>
          <w:rFonts w:hint="default" w:ascii="Times New Roman" w:hAnsi="Times New Roman" w:eastAsia="仿宋_GB2312" w:cs="Times New Roman"/>
          <w:spacing w:val="0"/>
          <w:sz w:val="32"/>
          <w:szCs w:val="32"/>
          <w:lang w:val="en-US" w:eastAsia="zh-CN"/>
        </w:rPr>
        <w:t>日</w:t>
      </w:r>
    </w:p>
    <w:p>
      <w:pPr>
        <w:keepNext w:val="0"/>
        <w:keepLines w:val="0"/>
        <w:pageBreakBefore w:val="0"/>
        <w:widowControl w:val="0"/>
        <w:kinsoku/>
        <w:wordWrap/>
        <w:overflowPunct/>
        <w:topLinePunct w:val="0"/>
        <w:autoSpaceDE/>
        <w:autoSpaceDN/>
        <w:bidi w:val="0"/>
        <w:adjustRightInd/>
        <w:snapToGrid/>
        <w:spacing w:line="620" w:lineRule="exact"/>
        <w:ind w:left="0" w:leftChars="0" w:firstLine="640" w:firstLineChars="200"/>
        <w:jc w:val="both"/>
        <w:textAlignment w:val="auto"/>
        <w:rPr>
          <w:rFonts w:hint="default" w:ascii="Times New Roman" w:hAnsi="Times New Roman" w:eastAsia="仿宋_GB2312" w:cs="Times New Roman"/>
          <w:spacing w:val="0"/>
          <w:sz w:val="32"/>
          <w:szCs w:val="32"/>
        </w:rPr>
      </w:pPr>
    </w:p>
    <w:p>
      <w:pPr>
        <w:keepNext w:val="0"/>
        <w:keepLines w:val="0"/>
        <w:pageBreakBefore w:val="0"/>
        <w:widowControl w:val="0"/>
        <w:kinsoku/>
        <w:wordWrap/>
        <w:overflowPunct/>
        <w:topLinePunct w:val="0"/>
        <w:autoSpaceDE/>
        <w:autoSpaceDN/>
        <w:bidi w:val="0"/>
        <w:adjustRightInd/>
        <w:snapToGrid/>
        <w:spacing w:line="620" w:lineRule="exact"/>
        <w:ind w:left="0" w:leftChars="0" w:firstLine="640" w:firstLineChars="200"/>
        <w:jc w:val="both"/>
        <w:textAlignment w:val="auto"/>
        <w:rPr>
          <w:rFonts w:hint="default" w:ascii="Times New Roman" w:hAnsi="Times New Roman" w:eastAsia="仿宋_GB2312" w:cs="Times New Roman"/>
          <w:spacing w:val="0"/>
          <w:sz w:val="32"/>
          <w:szCs w:val="32"/>
        </w:rPr>
      </w:pPr>
    </w:p>
    <w:p>
      <w:pPr>
        <w:rPr>
          <w:rFonts w:hint="eastAsia" w:ascii="黑体" w:hAnsi="黑体" w:eastAsia="黑体" w:cs="黑体"/>
          <w:sz w:val="32"/>
          <w:szCs w:val="32"/>
        </w:rPr>
      </w:pPr>
    </w:p>
    <w:p>
      <w:pPr>
        <w:rPr>
          <w:rFonts w:hint="eastAsia" w:ascii="黑体" w:hAnsi="黑体" w:eastAsia="黑体" w:cs="黑体"/>
          <w:sz w:val="32"/>
          <w:szCs w:val="32"/>
        </w:rPr>
      </w:pPr>
    </w:p>
    <w:p>
      <w:pPr>
        <w:keepNext w:val="0"/>
        <w:keepLines w:val="0"/>
        <w:pageBreakBefore w:val="0"/>
        <w:widowControl w:val="0"/>
        <w:kinsoku/>
        <w:wordWrap/>
        <w:overflowPunct/>
        <w:topLinePunct w:val="0"/>
        <w:autoSpaceDE/>
        <w:autoSpaceDN/>
        <w:bidi w:val="0"/>
        <w:adjustRightInd/>
        <w:spacing w:line="620" w:lineRule="exact"/>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rPr>
        <w:t>附件</w:t>
      </w:r>
      <w:r>
        <w:rPr>
          <w:rFonts w:hint="default" w:ascii="Times New Roman" w:hAnsi="Times New Roman" w:eastAsia="黑体" w:cs="Times New Roman"/>
          <w:sz w:val="32"/>
          <w:szCs w:val="32"/>
          <w:lang w:val="en-US" w:eastAsia="zh-CN"/>
        </w:rPr>
        <w:t>1</w:t>
      </w:r>
    </w:p>
    <w:p>
      <w:pPr>
        <w:keepNext w:val="0"/>
        <w:keepLines w:val="0"/>
        <w:pageBreakBefore w:val="0"/>
        <w:widowControl w:val="0"/>
        <w:kinsoku/>
        <w:wordWrap/>
        <w:overflowPunct/>
        <w:topLinePunct w:val="0"/>
        <w:autoSpaceDE/>
        <w:autoSpaceDN/>
        <w:bidi w:val="0"/>
        <w:adjustRightInd/>
        <w:spacing w:line="620" w:lineRule="exact"/>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620" w:lineRule="exact"/>
        <w:jc w:val="center"/>
        <w:textAlignment w:val="auto"/>
        <w:rPr>
          <w:rFonts w:hint="eastAsia" w:ascii="方正小标宋简体" w:hAnsi="方正小标宋简体" w:eastAsia="方正小标宋简体" w:cs="方正小标宋简体"/>
          <w:bCs/>
          <w:spacing w:val="0"/>
          <w:sz w:val="40"/>
          <w:szCs w:val="40"/>
        </w:rPr>
      </w:pPr>
      <w:r>
        <w:rPr>
          <w:rFonts w:hint="eastAsia" w:ascii="方正小标宋简体" w:hAnsi="方正小标宋简体" w:eastAsia="方正小标宋简体" w:cs="方正小标宋简体"/>
          <w:bCs/>
          <w:spacing w:val="0"/>
          <w:sz w:val="40"/>
          <w:szCs w:val="40"/>
          <w:lang w:val="en-US" w:eastAsia="zh-CN"/>
        </w:rPr>
        <w:t>2024年中央优抚对象医疗保障经费</w:t>
      </w:r>
      <w:r>
        <w:rPr>
          <w:rFonts w:hint="eastAsia" w:ascii="方正小标宋简体" w:hAnsi="方正小标宋简体" w:eastAsia="方正小标宋简体" w:cs="方正小标宋简体"/>
          <w:bCs/>
          <w:spacing w:val="0"/>
          <w:sz w:val="40"/>
          <w:szCs w:val="40"/>
        </w:rPr>
        <w:t>分配表</w:t>
      </w:r>
    </w:p>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方正小标宋简体" w:hAnsi="方正小标宋简体" w:eastAsia="方正小标宋简体" w:cs="方正小标宋简体"/>
          <w:bCs/>
          <w:sz w:val="21"/>
          <w:szCs w:val="21"/>
        </w:rPr>
      </w:pPr>
    </w:p>
    <w:p>
      <w:pPr>
        <w:ind w:right="300"/>
        <w:jc w:val="center"/>
        <w:rPr>
          <w:rFonts w:hint="eastAsia"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单位：万元</w:t>
      </w:r>
    </w:p>
    <w:tbl>
      <w:tblPr>
        <w:tblStyle w:val="5"/>
        <w:tblW w:w="79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89"/>
        <w:gridCol w:w="2503"/>
        <w:gridCol w:w="2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2889" w:type="dxa"/>
            <w:vAlign w:val="center"/>
          </w:tcPr>
          <w:p>
            <w:pPr>
              <w:jc w:val="center"/>
              <w:rPr>
                <w:rFonts w:hint="eastAsia" w:ascii="黑体" w:hAnsi="黑体" w:eastAsia="黑体" w:cs="黑体"/>
                <w:sz w:val="24"/>
                <w:szCs w:val="24"/>
              </w:rPr>
            </w:pPr>
            <w:r>
              <w:rPr>
                <w:rFonts w:hint="eastAsia" w:ascii="黑体" w:hAnsi="黑体" w:eastAsia="黑体" w:cs="黑体"/>
                <w:sz w:val="24"/>
                <w:szCs w:val="24"/>
              </w:rPr>
              <w:t>地区</w:t>
            </w:r>
          </w:p>
        </w:tc>
        <w:tc>
          <w:tcPr>
            <w:tcW w:w="2503" w:type="dxa"/>
            <w:vAlign w:val="center"/>
          </w:tcPr>
          <w:p>
            <w:pPr>
              <w:snapToGrid w:val="0"/>
              <w:jc w:val="center"/>
              <w:rPr>
                <w:rFonts w:hint="eastAsia" w:ascii="黑体" w:hAnsi="黑体" w:eastAsia="黑体" w:cs="黑体"/>
                <w:sz w:val="24"/>
                <w:szCs w:val="24"/>
              </w:rPr>
            </w:pPr>
            <w:r>
              <w:rPr>
                <w:rFonts w:hint="eastAsia" w:ascii="黑体" w:hAnsi="黑体" w:eastAsia="黑体" w:cs="黑体"/>
                <w:sz w:val="24"/>
                <w:szCs w:val="24"/>
              </w:rPr>
              <w:t>金额</w:t>
            </w:r>
          </w:p>
        </w:tc>
        <w:tc>
          <w:tcPr>
            <w:tcW w:w="2560" w:type="dxa"/>
            <w:vAlign w:val="center"/>
          </w:tcPr>
          <w:p>
            <w:pPr>
              <w:snapToGrid w:val="0"/>
              <w:jc w:val="center"/>
              <w:rPr>
                <w:rFonts w:hint="eastAsia" w:ascii="黑体" w:hAnsi="黑体" w:eastAsia="黑体" w:cs="黑体"/>
                <w:sz w:val="24"/>
                <w:szCs w:val="24"/>
              </w:rPr>
            </w:pPr>
            <w:r>
              <w:rPr>
                <w:rFonts w:hint="eastAsia" w:ascii="黑体" w:hAnsi="黑体" w:eastAsia="黑体" w:cs="黑体"/>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2889" w:type="dxa"/>
            <w:tcBorders>
              <w:top w:val="single" w:color="auto" w:sz="4" w:space="0"/>
            </w:tcBorders>
            <w:vAlign w:val="center"/>
          </w:tcPr>
          <w:p>
            <w:pPr>
              <w:snapToGrid w:val="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随州高新区</w:t>
            </w:r>
          </w:p>
        </w:tc>
        <w:tc>
          <w:tcPr>
            <w:tcW w:w="2503" w:type="dxa"/>
            <w:vAlign w:val="center"/>
          </w:tcPr>
          <w:p>
            <w:pPr>
              <w:jc w:val="center"/>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26</w:t>
            </w:r>
          </w:p>
        </w:tc>
        <w:tc>
          <w:tcPr>
            <w:tcW w:w="2560" w:type="dxa"/>
            <w:vAlign w:val="center"/>
          </w:tcPr>
          <w:p>
            <w:pPr>
              <w:jc w:val="center"/>
              <w:rPr>
                <w:rFonts w:hint="default"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2889" w:type="dxa"/>
            <w:vAlign w:val="center"/>
          </w:tcPr>
          <w:p>
            <w:pPr>
              <w:snapToGrid w:val="0"/>
              <w:jc w:val="center"/>
              <w:rPr>
                <w:rFonts w:hint="default" w:ascii="Times New Roman" w:hAnsi="Times New Roman" w:eastAsia="宋体" w:cs="Times New Roman"/>
                <w:sz w:val="24"/>
                <w:szCs w:val="24"/>
                <w:lang w:eastAsia="zh-CN"/>
              </w:rPr>
            </w:pPr>
            <w:r>
              <w:rPr>
                <w:rFonts w:hint="default" w:ascii="Times New Roman" w:hAnsi="Times New Roman" w:eastAsia="宋体" w:cs="Times New Roman"/>
                <w:sz w:val="24"/>
                <w:szCs w:val="24"/>
                <w:lang w:val="en-US" w:eastAsia="zh-CN"/>
              </w:rPr>
              <w:t>随县</w:t>
            </w:r>
          </w:p>
        </w:tc>
        <w:tc>
          <w:tcPr>
            <w:tcW w:w="2503" w:type="dxa"/>
            <w:vAlign w:val="center"/>
          </w:tcPr>
          <w:p>
            <w:pPr>
              <w:jc w:val="center"/>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2</w:t>
            </w:r>
          </w:p>
        </w:tc>
        <w:tc>
          <w:tcPr>
            <w:tcW w:w="2560" w:type="dxa"/>
            <w:vAlign w:val="center"/>
          </w:tcPr>
          <w:p>
            <w:pPr>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大洪山风景名胜区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2889" w:type="dxa"/>
            <w:vAlign w:val="center"/>
          </w:tcPr>
          <w:p>
            <w:pPr>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合计</w:t>
            </w:r>
          </w:p>
        </w:tc>
        <w:tc>
          <w:tcPr>
            <w:tcW w:w="2503" w:type="dxa"/>
            <w:vAlign w:val="center"/>
          </w:tcPr>
          <w:p>
            <w:pPr>
              <w:jc w:val="center"/>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28</w:t>
            </w:r>
          </w:p>
        </w:tc>
        <w:tc>
          <w:tcPr>
            <w:tcW w:w="2560" w:type="dxa"/>
            <w:vAlign w:val="center"/>
          </w:tcPr>
          <w:p>
            <w:pPr>
              <w:jc w:val="center"/>
              <w:rPr>
                <w:rFonts w:hint="default" w:ascii="Times New Roman" w:hAnsi="Times New Roman" w:eastAsia="宋体" w:cs="Times New Roman"/>
                <w:sz w:val="24"/>
                <w:szCs w:val="24"/>
              </w:rPr>
            </w:pPr>
          </w:p>
        </w:tc>
      </w:tr>
    </w:tbl>
    <w:p>
      <w:pPr>
        <w:ind w:firstLine="2880" w:firstLineChars="900"/>
        <w:rPr>
          <w:rFonts w:hint="eastAsia" w:ascii="仿宋" w:hAnsi="仿宋" w:eastAsia="仿宋" w:cs="仿宋"/>
          <w:sz w:val="32"/>
          <w:szCs w:val="32"/>
        </w:rPr>
      </w:pPr>
    </w:p>
    <w:p>
      <w:pPr>
        <w:rPr>
          <w:rFonts w:hint="eastAsia" w:ascii="仿宋" w:hAnsi="仿宋" w:eastAsia="仿宋" w:cs="仿宋"/>
          <w:sz w:val="32"/>
          <w:szCs w:val="32"/>
          <w:lang w:val="en-US" w:eastAsia="zh-CN"/>
        </w:rPr>
      </w:pPr>
    </w:p>
    <w:p>
      <w:pPr>
        <w:rPr>
          <w:rFonts w:hint="eastAsia" w:ascii="仿宋" w:hAnsi="仿宋" w:eastAsia="仿宋" w:cs="仿宋"/>
          <w:sz w:val="32"/>
          <w:szCs w:val="32"/>
          <w:lang w:val="en-US" w:eastAsia="zh-CN"/>
        </w:rPr>
      </w:pPr>
    </w:p>
    <w:p>
      <w:pPr>
        <w:rPr>
          <w:rFonts w:hint="eastAsia" w:ascii="仿宋" w:hAnsi="仿宋" w:eastAsia="仿宋" w:cs="仿宋"/>
          <w:sz w:val="32"/>
          <w:szCs w:val="32"/>
        </w:rPr>
      </w:pPr>
    </w:p>
    <w:p>
      <w:pPr>
        <w:rPr>
          <w:rFonts w:hint="eastAsia" w:ascii="仿宋" w:hAnsi="仿宋" w:eastAsia="仿宋" w:cs="仿宋"/>
          <w:sz w:val="32"/>
          <w:szCs w:val="32"/>
        </w:rPr>
      </w:pPr>
    </w:p>
    <w:p>
      <w:pPr>
        <w:rPr>
          <w:rFonts w:hint="eastAsia" w:ascii="仿宋" w:hAnsi="仿宋" w:eastAsia="仿宋" w:cs="仿宋"/>
          <w:sz w:val="32"/>
          <w:szCs w:val="32"/>
        </w:rPr>
      </w:pPr>
    </w:p>
    <w:p>
      <w:pPr>
        <w:rPr>
          <w:rFonts w:hint="eastAsia" w:ascii="仿宋" w:hAnsi="仿宋" w:eastAsia="仿宋" w:cs="仿宋"/>
          <w:sz w:val="32"/>
          <w:szCs w:val="32"/>
        </w:rPr>
      </w:pPr>
      <w:bookmarkStart w:id="0" w:name="_GoBack"/>
      <w:bookmarkEnd w:id="0"/>
    </w:p>
    <w:p>
      <w:pPr>
        <w:rPr>
          <w:rFonts w:hint="eastAsia" w:ascii="仿宋" w:hAnsi="仿宋" w:eastAsia="仿宋" w:cs="仿宋"/>
          <w:sz w:val="32"/>
          <w:szCs w:val="32"/>
        </w:rPr>
      </w:pPr>
    </w:p>
    <w:p>
      <w:pPr>
        <w:rPr>
          <w:rFonts w:hint="eastAsia" w:ascii="仿宋" w:hAnsi="仿宋" w:eastAsia="仿宋" w:cs="仿宋"/>
          <w:sz w:val="32"/>
          <w:szCs w:val="32"/>
        </w:rPr>
      </w:pPr>
    </w:p>
    <w:p>
      <w:pPr>
        <w:rPr>
          <w:rFonts w:hint="eastAsia" w:ascii="仿宋" w:hAnsi="仿宋" w:eastAsia="仿宋" w:cs="仿宋"/>
          <w:sz w:val="32"/>
          <w:szCs w:val="32"/>
        </w:rPr>
      </w:pPr>
    </w:p>
    <w:p>
      <w:pPr>
        <w:rPr>
          <w:rFonts w:hint="eastAsia" w:ascii="仿宋" w:hAnsi="仿宋" w:eastAsia="仿宋" w:cs="仿宋"/>
          <w:sz w:val="32"/>
          <w:szCs w:val="32"/>
        </w:rPr>
      </w:pPr>
    </w:p>
    <w:p>
      <w:pPr>
        <w:rPr>
          <w:rFonts w:hint="eastAsia"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rPr>
        <w:t>附件</w:t>
      </w:r>
      <w:r>
        <w:rPr>
          <w:rFonts w:hint="default" w:ascii="Times New Roman" w:hAnsi="Times New Roman" w:eastAsia="黑体" w:cs="Times New Roman"/>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ascii="Times New Roman" w:hAnsi="Times New Roman" w:eastAsia="黑体"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eastAsia" w:ascii="方正小标宋简体" w:hAnsi="方正小标宋简体" w:eastAsia="方正小标宋简体" w:cs="方正小标宋简体"/>
          <w:bCs/>
          <w:spacing w:val="0"/>
          <w:sz w:val="40"/>
          <w:szCs w:val="40"/>
          <w:lang w:val="en-US" w:eastAsia="zh-CN"/>
        </w:rPr>
      </w:pPr>
      <w:r>
        <w:rPr>
          <w:rFonts w:hint="eastAsia" w:ascii="方正小标宋简体" w:hAnsi="方正小标宋简体" w:eastAsia="方正小标宋简体" w:cs="方正小标宋简体"/>
          <w:bCs/>
          <w:spacing w:val="0"/>
          <w:sz w:val="40"/>
          <w:szCs w:val="40"/>
          <w:lang w:val="en-US" w:eastAsia="zh-CN"/>
        </w:rPr>
        <w:t>优抚对象医疗保障经费区域绩效目标表</w:t>
      </w: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default" w:ascii="Times New Roman" w:hAnsi="Times New Roman" w:eastAsia="楷体_GB2312" w:cs="Times New Roman"/>
          <w:b/>
          <w:bCs/>
          <w:sz w:val="24"/>
          <w:szCs w:val="24"/>
          <w:lang w:val="en-US" w:eastAsia="zh-CN"/>
        </w:rPr>
      </w:pPr>
      <w:r>
        <w:rPr>
          <w:rFonts w:hint="default" w:ascii="Times New Roman" w:hAnsi="Times New Roman" w:eastAsia="楷体_GB2312" w:cs="Times New Roman"/>
          <w:b/>
          <w:bCs/>
          <w:sz w:val="24"/>
          <w:szCs w:val="24"/>
          <w:lang w:val="en-US" w:eastAsia="zh-CN"/>
        </w:rPr>
        <w:t>（2024年度）</w:t>
      </w:r>
    </w:p>
    <w:p>
      <w:pPr>
        <w:jc w:val="center"/>
        <w:rPr>
          <w:rFonts w:hint="eastAsia" w:ascii="仿宋" w:hAnsi="仿宋" w:eastAsia="仿宋" w:cs="仿宋"/>
          <w:sz w:val="24"/>
          <w:szCs w:val="24"/>
          <w:lang w:val="en-US" w:eastAsia="zh-CN"/>
        </w:rPr>
      </w:pPr>
    </w:p>
    <w:tbl>
      <w:tblPr>
        <w:tblStyle w:val="5"/>
        <w:tblW w:w="84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62"/>
        <w:gridCol w:w="1567"/>
        <w:gridCol w:w="1322"/>
        <w:gridCol w:w="493"/>
        <w:gridCol w:w="2850"/>
        <w:gridCol w:w="10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162" w:type="dxa"/>
            <w:vAlign w:val="center"/>
          </w:tcPr>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专项名称</w:t>
            </w:r>
          </w:p>
        </w:tc>
        <w:tc>
          <w:tcPr>
            <w:tcW w:w="7325" w:type="dxa"/>
            <w:gridSpan w:val="5"/>
            <w:vAlign w:val="center"/>
          </w:tcPr>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优抚对象医疗保障经费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162" w:type="dxa"/>
            <w:vAlign w:val="center"/>
          </w:tcPr>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省    级主管部门</w:t>
            </w:r>
          </w:p>
        </w:tc>
        <w:tc>
          <w:tcPr>
            <w:tcW w:w="7325" w:type="dxa"/>
            <w:gridSpan w:val="5"/>
            <w:vAlign w:val="center"/>
          </w:tcPr>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省退役军人事务厅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162" w:type="dxa"/>
            <w:vMerge w:val="restart"/>
            <w:vAlign w:val="center"/>
          </w:tcPr>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资金情况</w:t>
            </w:r>
          </w:p>
        </w:tc>
        <w:tc>
          <w:tcPr>
            <w:tcW w:w="2889" w:type="dxa"/>
            <w:gridSpan w:val="2"/>
            <w:vAlign w:val="center"/>
          </w:tcPr>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年度金额：</w:t>
            </w:r>
          </w:p>
        </w:tc>
        <w:tc>
          <w:tcPr>
            <w:tcW w:w="4436" w:type="dxa"/>
            <w:gridSpan w:val="3"/>
            <w:vAlign w:val="center"/>
          </w:tcPr>
          <w:p>
            <w:pPr>
              <w:jc w:val="center"/>
              <w:rPr>
                <w:rFonts w:hint="eastAsia" w:ascii="宋体" w:hAnsi="宋体" w:eastAsia="宋体" w:cs="宋体"/>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162" w:type="dxa"/>
            <w:vMerge w:val="continue"/>
            <w:vAlign w:val="center"/>
          </w:tcPr>
          <w:p>
            <w:pPr>
              <w:jc w:val="center"/>
              <w:rPr>
                <w:rFonts w:hint="eastAsia" w:ascii="宋体" w:hAnsi="宋体" w:eastAsia="宋体" w:cs="宋体"/>
                <w:sz w:val="21"/>
                <w:szCs w:val="21"/>
                <w:vertAlign w:val="baseline"/>
                <w:lang w:val="en-US" w:eastAsia="zh-CN"/>
              </w:rPr>
            </w:pPr>
          </w:p>
        </w:tc>
        <w:tc>
          <w:tcPr>
            <w:tcW w:w="2889" w:type="dxa"/>
            <w:gridSpan w:val="2"/>
            <w:vAlign w:val="center"/>
          </w:tcPr>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其中：中央补助</w:t>
            </w:r>
          </w:p>
        </w:tc>
        <w:tc>
          <w:tcPr>
            <w:tcW w:w="4436" w:type="dxa"/>
            <w:gridSpan w:val="3"/>
            <w:vAlign w:val="center"/>
          </w:tcPr>
          <w:p>
            <w:pPr>
              <w:jc w:val="center"/>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见附表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162" w:type="dxa"/>
            <w:vMerge w:val="continue"/>
            <w:vAlign w:val="center"/>
          </w:tcPr>
          <w:p>
            <w:pPr>
              <w:jc w:val="center"/>
              <w:rPr>
                <w:rFonts w:hint="eastAsia" w:ascii="宋体" w:hAnsi="宋体" w:eastAsia="宋体" w:cs="宋体"/>
                <w:sz w:val="21"/>
                <w:szCs w:val="21"/>
                <w:vertAlign w:val="baseline"/>
                <w:lang w:val="en-US" w:eastAsia="zh-CN"/>
              </w:rPr>
            </w:pPr>
          </w:p>
        </w:tc>
        <w:tc>
          <w:tcPr>
            <w:tcW w:w="2889" w:type="dxa"/>
            <w:gridSpan w:val="2"/>
            <w:vAlign w:val="center"/>
          </w:tcPr>
          <w:p>
            <w:pPr>
              <w:jc w:val="center"/>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 xml:space="preserve">     省级补助</w:t>
            </w:r>
          </w:p>
        </w:tc>
        <w:tc>
          <w:tcPr>
            <w:tcW w:w="4436" w:type="dxa"/>
            <w:gridSpan w:val="3"/>
            <w:vAlign w:val="center"/>
          </w:tcPr>
          <w:p>
            <w:pPr>
              <w:jc w:val="center"/>
              <w:rPr>
                <w:rFonts w:hint="eastAsia" w:ascii="宋体" w:hAnsi="宋体" w:eastAsia="宋体" w:cs="宋体"/>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1162" w:type="dxa"/>
            <w:vAlign w:val="center"/>
          </w:tcPr>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年    度</w:t>
            </w:r>
          </w:p>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总体目标</w:t>
            </w:r>
          </w:p>
        </w:tc>
        <w:tc>
          <w:tcPr>
            <w:tcW w:w="7325" w:type="dxa"/>
            <w:gridSpan w:val="5"/>
            <w:vAlign w:val="center"/>
          </w:tcPr>
          <w:p>
            <w:pPr>
              <w:ind w:firstLine="420" w:firstLineChars="200"/>
              <w:jc w:val="both"/>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通过发放优抚对象医疗补助资金，对优抚对象参保缴费、住院和门诊费用进行补助，有效帮助解决优抚对象医疗难问题。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162" w:type="dxa"/>
            <w:vMerge w:val="restart"/>
            <w:vAlign w:val="center"/>
          </w:tcPr>
          <w:p>
            <w:pPr>
              <w:jc w:val="center"/>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绩效指标</w:t>
            </w:r>
          </w:p>
        </w:tc>
        <w:tc>
          <w:tcPr>
            <w:tcW w:w="1567" w:type="dxa"/>
            <w:vAlign w:val="center"/>
          </w:tcPr>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一级指标</w:t>
            </w:r>
          </w:p>
        </w:tc>
        <w:tc>
          <w:tcPr>
            <w:tcW w:w="1815" w:type="dxa"/>
            <w:gridSpan w:val="2"/>
            <w:vAlign w:val="center"/>
          </w:tcPr>
          <w:p>
            <w:pPr>
              <w:jc w:val="center"/>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二级指标</w:t>
            </w:r>
          </w:p>
        </w:tc>
        <w:tc>
          <w:tcPr>
            <w:tcW w:w="2850" w:type="dxa"/>
            <w:vAlign w:val="center"/>
          </w:tcPr>
          <w:p>
            <w:pPr>
              <w:jc w:val="center"/>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三级指标</w:t>
            </w:r>
          </w:p>
        </w:tc>
        <w:tc>
          <w:tcPr>
            <w:tcW w:w="1093" w:type="dxa"/>
            <w:vAlign w:val="center"/>
          </w:tcPr>
          <w:p>
            <w:pPr>
              <w:jc w:val="center"/>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指标值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1162" w:type="dxa"/>
            <w:vMerge w:val="continue"/>
            <w:vAlign w:val="center"/>
          </w:tcPr>
          <w:p>
            <w:pPr>
              <w:jc w:val="center"/>
              <w:rPr>
                <w:rFonts w:hint="eastAsia" w:ascii="宋体" w:hAnsi="宋体" w:eastAsia="宋体" w:cs="宋体"/>
                <w:sz w:val="21"/>
                <w:szCs w:val="21"/>
                <w:vertAlign w:val="baseline"/>
                <w:lang w:val="en-US" w:eastAsia="zh-CN"/>
              </w:rPr>
            </w:pPr>
          </w:p>
        </w:tc>
        <w:tc>
          <w:tcPr>
            <w:tcW w:w="1567" w:type="dxa"/>
            <w:vMerge w:val="restart"/>
            <w:vAlign w:val="center"/>
          </w:tcPr>
          <w:p>
            <w:pPr>
              <w:jc w:val="center"/>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产出指标</w:t>
            </w:r>
          </w:p>
        </w:tc>
        <w:tc>
          <w:tcPr>
            <w:tcW w:w="1815" w:type="dxa"/>
            <w:gridSpan w:val="2"/>
            <w:vAlign w:val="center"/>
          </w:tcPr>
          <w:p>
            <w:pPr>
              <w:jc w:val="center"/>
              <w:rPr>
                <w:rFonts w:hint="default" w:ascii="宋体" w:hAnsi="宋体" w:eastAsia="宋体" w:cs="宋体"/>
                <w:kern w:val="2"/>
                <w:sz w:val="21"/>
                <w:szCs w:val="21"/>
                <w:vertAlign w:val="baseline"/>
                <w:lang w:val="en-US" w:eastAsia="zh-CN" w:bidi="ar-SA"/>
              </w:rPr>
            </w:pPr>
            <w:r>
              <w:rPr>
                <w:rFonts w:hint="eastAsia" w:ascii="宋体" w:hAnsi="宋体" w:eastAsia="宋体" w:cs="宋体"/>
                <w:kern w:val="2"/>
                <w:sz w:val="21"/>
                <w:szCs w:val="21"/>
                <w:vertAlign w:val="baseline"/>
                <w:lang w:val="en-US" w:eastAsia="zh-CN" w:bidi="ar-SA"/>
              </w:rPr>
              <w:t>数量指标</w:t>
            </w:r>
          </w:p>
        </w:tc>
        <w:tc>
          <w:tcPr>
            <w:tcW w:w="2850" w:type="dxa"/>
            <w:vAlign w:val="center"/>
          </w:tcPr>
          <w:p>
            <w:pPr>
              <w:jc w:val="both"/>
              <w:rPr>
                <w:rFonts w:hint="default" w:ascii="宋体" w:hAnsi="宋体" w:eastAsia="宋体" w:cs="宋体"/>
                <w:kern w:val="2"/>
                <w:sz w:val="21"/>
                <w:szCs w:val="21"/>
                <w:vertAlign w:val="baseline"/>
                <w:lang w:val="en-US" w:eastAsia="zh-CN" w:bidi="ar-SA"/>
              </w:rPr>
            </w:pPr>
            <w:r>
              <w:rPr>
                <w:rFonts w:hint="eastAsia" w:ascii="宋体" w:hAnsi="宋体" w:eastAsia="宋体" w:cs="宋体"/>
                <w:kern w:val="2"/>
                <w:sz w:val="21"/>
                <w:szCs w:val="21"/>
                <w:vertAlign w:val="baseline"/>
                <w:lang w:val="en-US" w:eastAsia="zh-CN" w:bidi="ar-SA"/>
              </w:rPr>
              <w:t>享受医疗待遇优抚对象人数</w:t>
            </w:r>
          </w:p>
        </w:tc>
        <w:tc>
          <w:tcPr>
            <w:tcW w:w="1093" w:type="dxa"/>
            <w:vAlign w:val="center"/>
          </w:tcPr>
          <w:p>
            <w:pPr>
              <w:jc w:val="center"/>
              <w:rPr>
                <w:rFonts w:hint="eastAsia" w:ascii="宋体" w:hAnsi="宋体" w:eastAsia="宋体" w:cs="宋体"/>
                <w:kern w:val="2"/>
                <w:sz w:val="21"/>
                <w:szCs w:val="21"/>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162" w:type="dxa"/>
            <w:vMerge w:val="continue"/>
            <w:vAlign w:val="center"/>
          </w:tcPr>
          <w:p>
            <w:pPr>
              <w:jc w:val="center"/>
              <w:rPr>
                <w:rFonts w:hint="eastAsia" w:ascii="宋体" w:hAnsi="宋体" w:eastAsia="宋体" w:cs="宋体"/>
                <w:sz w:val="21"/>
                <w:szCs w:val="21"/>
                <w:vertAlign w:val="baseline"/>
                <w:lang w:val="en-US" w:eastAsia="zh-CN"/>
              </w:rPr>
            </w:pPr>
          </w:p>
        </w:tc>
        <w:tc>
          <w:tcPr>
            <w:tcW w:w="1567" w:type="dxa"/>
            <w:vMerge w:val="continue"/>
            <w:vAlign w:val="center"/>
          </w:tcPr>
          <w:p>
            <w:pPr>
              <w:jc w:val="center"/>
              <w:rPr>
                <w:rFonts w:hint="default" w:ascii="宋体" w:hAnsi="宋体" w:eastAsia="宋体" w:cs="宋体"/>
                <w:sz w:val="21"/>
                <w:szCs w:val="21"/>
                <w:vertAlign w:val="baseline"/>
                <w:lang w:val="en-US" w:eastAsia="zh-CN"/>
              </w:rPr>
            </w:pPr>
          </w:p>
        </w:tc>
        <w:tc>
          <w:tcPr>
            <w:tcW w:w="1815" w:type="dxa"/>
            <w:gridSpan w:val="2"/>
            <w:vMerge w:val="restart"/>
            <w:vAlign w:val="center"/>
          </w:tcPr>
          <w:p>
            <w:pPr>
              <w:jc w:val="center"/>
              <w:rPr>
                <w:rFonts w:hint="default" w:ascii="宋体" w:hAnsi="宋体" w:eastAsia="宋体" w:cs="宋体"/>
                <w:kern w:val="2"/>
                <w:sz w:val="21"/>
                <w:szCs w:val="21"/>
                <w:vertAlign w:val="baseline"/>
                <w:lang w:val="en-US" w:eastAsia="zh-CN" w:bidi="ar-SA"/>
              </w:rPr>
            </w:pPr>
            <w:r>
              <w:rPr>
                <w:rFonts w:hint="eastAsia" w:ascii="宋体" w:hAnsi="宋体" w:eastAsia="宋体" w:cs="宋体"/>
                <w:kern w:val="2"/>
                <w:sz w:val="21"/>
                <w:szCs w:val="21"/>
                <w:vertAlign w:val="baseline"/>
                <w:lang w:val="en-US" w:eastAsia="zh-CN" w:bidi="ar-SA"/>
              </w:rPr>
              <w:t>质量指标</w:t>
            </w:r>
          </w:p>
        </w:tc>
        <w:tc>
          <w:tcPr>
            <w:tcW w:w="2850" w:type="dxa"/>
            <w:vAlign w:val="center"/>
          </w:tcPr>
          <w:p>
            <w:pPr>
              <w:jc w:val="both"/>
              <w:rPr>
                <w:rFonts w:hint="default" w:ascii="宋体" w:hAnsi="宋体" w:eastAsia="宋体" w:cs="宋体"/>
                <w:kern w:val="2"/>
                <w:sz w:val="21"/>
                <w:szCs w:val="21"/>
                <w:vertAlign w:val="baseline"/>
                <w:lang w:val="en-US" w:eastAsia="zh-CN" w:bidi="ar-SA"/>
              </w:rPr>
            </w:pPr>
            <w:r>
              <w:rPr>
                <w:rFonts w:hint="eastAsia" w:ascii="宋体" w:hAnsi="宋体" w:eastAsia="宋体" w:cs="宋体"/>
                <w:kern w:val="2"/>
                <w:sz w:val="21"/>
                <w:szCs w:val="21"/>
                <w:vertAlign w:val="baseline"/>
                <w:lang w:val="en-US" w:eastAsia="zh-CN" w:bidi="ar-SA"/>
              </w:rPr>
              <w:t>经费足额拨付率</w:t>
            </w:r>
          </w:p>
        </w:tc>
        <w:tc>
          <w:tcPr>
            <w:tcW w:w="1093" w:type="dxa"/>
            <w:vAlign w:val="center"/>
          </w:tcPr>
          <w:p>
            <w:pPr>
              <w:jc w:val="center"/>
              <w:rPr>
                <w:rFonts w:hint="default" w:ascii="宋体" w:hAnsi="宋体" w:eastAsia="宋体" w:cs="宋体"/>
                <w:kern w:val="2"/>
                <w:sz w:val="21"/>
                <w:szCs w:val="21"/>
                <w:vertAlign w:val="baseline"/>
                <w:lang w:val="en-US" w:eastAsia="zh-CN" w:bidi="ar-SA"/>
              </w:rPr>
            </w:pPr>
            <w:r>
              <w:rPr>
                <w:rFonts w:hint="eastAsia" w:ascii="宋体" w:hAnsi="宋体" w:eastAsia="宋体" w:cs="宋体"/>
                <w:kern w:val="2"/>
                <w:sz w:val="21"/>
                <w:szCs w:val="21"/>
                <w:vertAlign w:val="baseline"/>
                <w:lang w:val="en-US" w:eastAsia="zh-CN" w:bidi="ar-SA"/>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1162" w:type="dxa"/>
            <w:vMerge w:val="continue"/>
            <w:vAlign w:val="center"/>
          </w:tcPr>
          <w:p>
            <w:pPr>
              <w:jc w:val="center"/>
              <w:rPr>
                <w:rFonts w:hint="eastAsia" w:ascii="宋体" w:hAnsi="宋体" w:eastAsia="宋体" w:cs="宋体"/>
                <w:sz w:val="21"/>
                <w:szCs w:val="21"/>
                <w:vertAlign w:val="baseline"/>
                <w:lang w:val="en-US" w:eastAsia="zh-CN"/>
              </w:rPr>
            </w:pPr>
          </w:p>
        </w:tc>
        <w:tc>
          <w:tcPr>
            <w:tcW w:w="1567" w:type="dxa"/>
            <w:vMerge w:val="continue"/>
            <w:vAlign w:val="center"/>
          </w:tcPr>
          <w:p>
            <w:pPr>
              <w:jc w:val="center"/>
              <w:rPr>
                <w:rFonts w:hint="eastAsia" w:ascii="宋体" w:hAnsi="宋体" w:eastAsia="宋体" w:cs="宋体"/>
                <w:sz w:val="21"/>
                <w:szCs w:val="21"/>
                <w:vertAlign w:val="baseline"/>
                <w:lang w:val="en-US" w:eastAsia="zh-CN"/>
              </w:rPr>
            </w:pPr>
          </w:p>
        </w:tc>
        <w:tc>
          <w:tcPr>
            <w:tcW w:w="1815" w:type="dxa"/>
            <w:gridSpan w:val="2"/>
            <w:vMerge w:val="continue"/>
            <w:vAlign w:val="center"/>
          </w:tcPr>
          <w:p>
            <w:pPr>
              <w:jc w:val="center"/>
              <w:rPr>
                <w:rFonts w:hint="eastAsia" w:ascii="宋体" w:hAnsi="宋体" w:eastAsia="宋体" w:cs="宋体"/>
                <w:sz w:val="21"/>
                <w:szCs w:val="21"/>
                <w:vertAlign w:val="baseline"/>
                <w:lang w:val="en-US" w:eastAsia="zh-CN"/>
              </w:rPr>
            </w:pPr>
          </w:p>
        </w:tc>
        <w:tc>
          <w:tcPr>
            <w:tcW w:w="2850" w:type="dxa"/>
            <w:vAlign w:val="center"/>
          </w:tcPr>
          <w:p>
            <w:pPr>
              <w:jc w:val="both"/>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优抚对象医疗救助标准按规定执行率</w:t>
            </w:r>
          </w:p>
        </w:tc>
        <w:tc>
          <w:tcPr>
            <w:tcW w:w="1093" w:type="dxa"/>
            <w:vAlign w:val="center"/>
          </w:tcPr>
          <w:p>
            <w:pPr>
              <w:jc w:val="center"/>
              <w:rPr>
                <w:rFonts w:hint="eastAsia" w:ascii="宋体" w:hAnsi="宋体" w:eastAsia="宋体" w:cs="宋体"/>
                <w:sz w:val="21"/>
                <w:szCs w:val="21"/>
                <w:vertAlign w:val="baseline"/>
                <w:lang w:val="en-US" w:eastAsia="zh-CN"/>
              </w:rPr>
            </w:pPr>
            <w:r>
              <w:rPr>
                <w:rFonts w:hint="eastAsia" w:ascii="宋体" w:hAnsi="宋体" w:eastAsia="宋体" w:cs="宋体"/>
                <w:kern w:val="2"/>
                <w:sz w:val="21"/>
                <w:szCs w:val="21"/>
                <w:vertAlign w:val="baseline"/>
                <w:lang w:val="en-US" w:eastAsia="zh-CN" w:bidi="ar-SA"/>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1162" w:type="dxa"/>
            <w:vMerge w:val="continue"/>
            <w:vAlign w:val="center"/>
          </w:tcPr>
          <w:p>
            <w:pPr>
              <w:jc w:val="center"/>
              <w:rPr>
                <w:rFonts w:hint="eastAsia" w:ascii="宋体" w:hAnsi="宋体" w:eastAsia="宋体" w:cs="宋体"/>
                <w:sz w:val="21"/>
                <w:szCs w:val="21"/>
                <w:vertAlign w:val="baseline"/>
                <w:lang w:val="en-US" w:eastAsia="zh-CN"/>
              </w:rPr>
            </w:pPr>
          </w:p>
        </w:tc>
        <w:tc>
          <w:tcPr>
            <w:tcW w:w="1567" w:type="dxa"/>
            <w:vMerge w:val="continue"/>
            <w:vAlign w:val="center"/>
          </w:tcPr>
          <w:p>
            <w:pPr>
              <w:jc w:val="center"/>
              <w:rPr>
                <w:rFonts w:hint="eastAsia" w:ascii="宋体" w:hAnsi="宋体" w:eastAsia="宋体" w:cs="宋体"/>
                <w:sz w:val="21"/>
                <w:szCs w:val="21"/>
                <w:vertAlign w:val="baseline"/>
                <w:lang w:val="en-US" w:eastAsia="zh-CN"/>
              </w:rPr>
            </w:pPr>
          </w:p>
        </w:tc>
        <w:tc>
          <w:tcPr>
            <w:tcW w:w="1815" w:type="dxa"/>
            <w:gridSpan w:val="2"/>
            <w:vAlign w:val="center"/>
          </w:tcPr>
          <w:p>
            <w:pPr>
              <w:jc w:val="center"/>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实效指标</w:t>
            </w:r>
          </w:p>
        </w:tc>
        <w:tc>
          <w:tcPr>
            <w:tcW w:w="2850" w:type="dxa"/>
            <w:vAlign w:val="center"/>
          </w:tcPr>
          <w:p>
            <w:pPr>
              <w:jc w:val="both"/>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优抚对象医疗保障经费及时拨付</w:t>
            </w:r>
          </w:p>
        </w:tc>
        <w:tc>
          <w:tcPr>
            <w:tcW w:w="1093" w:type="dxa"/>
            <w:vAlign w:val="center"/>
          </w:tcPr>
          <w:p>
            <w:pPr>
              <w:jc w:val="center"/>
              <w:rPr>
                <w:rFonts w:hint="eastAsia" w:ascii="宋体" w:hAnsi="宋体" w:eastAsia="宋体" w:cs="宋体"/>
                <w:sz w:val="21"/>
                <w:szCs w:val="21"/>
                <w:vertAlign w:val="baseline"/>
                <w:lang w:val="en-US" w:eastAsia="zh-CN"/>
              </w:rPr>
            </w:pPr>
            <w:r>
              <w:rPr>
                <w:rFonts w:hint="eastAsia" w:ascii="宋体" w:hAnsi="宋体" w:eastAsia="宋体" w:cs="宋体"/>
                <w:kern w:val="2"/>
                <w:sz w:val="21"/>
                <w:szCs w:val="21"/>
                <w:vertAlign w:val="baseline"/>
                <w:lang w:val="en-US" w:eastAsia="zh-CN" w:bidi="ar-SA"/>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162" w:type="dxa"/>
            <w:vMerge w:val="continue"/>
            <w:vAlign w:val="center"/>
          </w:tcPr>
          <w:p>
            <w:pPr>
              <w:jc w:val="center"/>
              <w:rPr>
                <w:rFonts w:hint="eastAsia" w:ascii="宋体" w:hAnsi="宋体" w:eastAsia="宋体" w:cs="宋体"/>
                <w:sz w:val="21"/>
                <w:szCs w:val="21"/>
                <w:vertAlign w:val="baseline"/>
                <w:lang w:val="en-US" w:eastAsia="zh-CN"/>
              </w:rPr>
            </w:pPr>
          </w:p>
        </w:tc>
        <w:tc>
          <w:tcPr>
            <w:tcW w:w="1567" w:type="dxa"/>
            <w:vAlign w:val="center"/>
          </w:tcPr>
          <w:p>
            <w:pPr>
              <w:jc w:val="center"/>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效益指标</w:t>
            </w:r>
          </w:p>
        </w:tc>
        <w:tc>
          <w:tcPr>
            <w:tcW w:w="1815" w:type="dxa"/>
            <w:gridSpan w:val="2"/>
            <w:vAlign w:val="center"/>
          </w:tcPr>
          <w:p>
            <w:pPr>
              <w:jc w:val="center"/>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社会效益指标</w:t>
            </w:r>
          </w:p>
        </w:tc>
        <w:tc>
          <w:tcPr>
            <w:tcW w:w="2850" w:type="dxa"/>
            <w:vAlign w:val="center"/>
          </w:tcPr>
          <w:p>
            <w:pPr>
              <w:jc w:val="both"/>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优抚对象医疗问题改善情况</w:t>
            </w:r>
          </w:p>
        </w:tc>
        <w:tc>
          <w:tcPr>
            <w:tcW w:w="1093" w:type="dxa"/>
            <w:vAlign w:val="center"/>
          </w:tcPr>
          <w:p>
            <w:pPr>
              <w:jc w:val="center"/>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有效改善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6" w:hRule="atLeast"/>
          <w:jc w:val="center"/>
        </w:trPr>
        <w:tc>
          <w:tcPr>
            <w:tcW w:w="1162" w:type="dxa"/>
            <w:vMerge w:val="continue"/>
            <w:vAlign w:val="center"/>
          </w:tcPr>
          <w:p>
            <w:pPr>
              <w:jc w:val="center"/>
              <w:rPr>
                <w:rFonts w:hint="eastAsia" w:ascii="宋体" w:hAnsi="宋体" w:eastAsia="宋体" w:cs="宋体"/>
                <w:sz w:val="21"/>
                <w:szCs w:val="21"/>
                <w:vertAlign w:val="baseline"/>
                <w:lang w:val="en-US" w:eastAsia="zh-CN"/>
              </w:rPr>
            </w:pPr>
          </w:p>
        </w:tc>
        <w:tc>
          <w:tcPr>
            <w:tcW w:w="1567" w:type="dxa"/>
            <w:vAlign w:val="center"/>
          </w:tcPr>
          <w:p>
            <w:pPr>
              <w:jc w:val="center"/>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满意度指标</w:t>
            </w:r>
          </w:p>
        </w:tc>
        <w:tc>
          <w:tcPr>
            <w:tcW w:w="1815" w:type="dxa"/>
            <w:gridSpan w:val="2"/>
            <w:vAlign w:val="center"/>
          </w:tcPr>
          <w:p>
            <w:pPr>
              <w:jc w:val="center"/>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服务对象满意度指标</w:t>
            </w:r>
          </w:p>
        </w:tc>
        <w:tc>
          <w:tcPr>
            <w:tcW w:w="2850" w:type="dxa"/>
            <w:vAlign w:val="center"/>
          </w:tcPr>
          <w:p>
            <w:pPr>
              <w:jc w:val="both"/>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优抚对象满意对</w:t>
            </w:r>
          </w:p>
        </w:tc>
        <w:tc>
          <w:tcPr>
            <w:tcW w:w="1093" w:type="dxa"/>
            <w:vAlign w:val="center"/>
          </w:tcPr>
          <w:p>
            <w:pPr>
              <w:jc w:val="center"/>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≥85%</w:t>
            </w:r>
          </w:p>
        </w:tc>
      </w:tr>
    </w:tbl>
    <w:p>
      <w:pPr>
        <w:rPr>
          <w:rFonts w:hint="eastAsia" w:ascii="仿宋" w:hAnsi="仿宋" w:eastAsia="仿宋" w:cs="仿宋"/>
          <w:sz w:val="32"/>
          <w:szCs w:val="32"/>
          <w:lang w:val="en-US" w:eastAsia="zh-CN"/>
        </w:rPr>
      </w:pPr>
      <w:r>
        <w:rPr>
          <w:sz w:val="32"/>
          <w:szCs w:val="32"/>
        </w:rPr>
        <mc:AlternateContent>
          <mc:Choice Requires="wps">
            <w:drawing>
              <wp:anchor distT="0" distB="0" distL="114300" distR="114300" simplePos="0" relativeHeight="251666432" behindDoc="0" locked="0" layoutInCell="1" allowOverlap="1">
                <wp:simplePos x="0" y="0"/>
                <wp:positionH relativeFrom="column">
                  <wp:posOffset>1087120</wp:posOffset>
                </wp:positionH>
                <wp:positionV relativeFrom="paragraph">
                  <wp:posOffset>8955405</wp:posOffset>
                </wp:positionV>
                <wp:extent cx="5683250" cy="0"/>
                <wp:effectExtent l="0" t="0" r="0" b="0"/>
                <wp:wrapNone/>
                <wp:docPr id="5" name="直接连接符 5"/>
                <wp:cNvGraphicFramePr/>
                <a:graphic xmlns:a="http://schemas.openxmlformats.org/drawingml/2006/main">
                  <a:graphicData uri="http://schemas.microsoft.com/office/word/2010/wordprocessingShape">
                    <wps:wsp>
                      <wps:cNvCnPr/>
                      <wps:spPr>
                        <a:xfrm>
                          <a:off x="934720" y="8942705"/>
                          <a:ext cx="5683250" cy="0"/>
                        </a:xfrm>
                        <a:prstGeom prst="line">
                          <a:avLst/>
                        </a:prstGeom>
                        <a:noFill/>
                        <a:ln w="635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margin-left:85.6pt;margin-top:705.15pt;height:0pt;width:447.5pt;z-index:251666432;mso-width-relative:page;mso-height-relative:page;" filled="f" stroked="t" coordsize="21600,21600" o:gfxdata="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iIB+8tcAAAAOAQAADwAAAAAAAAABACAAAAAiAAAAZHJzL2Rvd25yZXYueG1sUEsB&#10;AhQAFAAAAAgAh07iQJSNSwn2AQAAygMAAA4AAAAAAAAAAQAgAAAAJgEAAGRycy9lMm9Eb2MueG1s&#10;UEsFBgAAAAAGAAYAWQEAAI4FAAAAAA==&#10;">
                <v:fill on="f" focussize="0,0"/>
                <v:stroke weight="0.5pt" color="#000000" miterlimit="8" joinstyle="miter"/>
                <v:imagedata o:title=""/>
                <o:lock v:ext="edit" aspectratio="f"/>
              </v:line>
            </w:pict>
          </mc:Fallback>
        </mc:AlternateContent>
      </w:r>
      <w:r>
        <w:rPr>
          <w:sz w:val="32"/>
          <w:szCs w:val="32"/>
        </w:rPr>
        <mc:AlternateContent>
          <mc:Choice Requires="wps">
            <w:drawing>
              <wp:anchor distT="0" distB="0" distL="114300" distR="114300" simplePos="0" relativeHeight="251664384" behindDoc="0" locked="0" layoutInCell="1" allowOverlap="1">
                <wp:simplePos x="0" y="0"/>
                <wp:positionH relativeFrom="column">
                  <wp:posOffset>934720</wp:posOffset>
                </wp:positionH>
                <wp:positionV relativeFrom="paragraph">
                  <wp:posOffset>8803005</wp:posOffset>
                </wp:positionV>
                <wp:extent cx="5683250" cy="0"/>
                <wp:effectExtent l="0" t="0" r="0" b="0"/>
                <wp:wrapNone/>
                <wp:docPr id="4" name="直接连接符 4"/>
                <wp:cNvGraphicFramePr/>
                <a:graphic xmlns:a="http://schemas.openxmlformats.org/drawingml/2006/main">
                  <a:graphicData uri="http://schemas.microsoft.com/office/word/2010/wordprocessingShape">
                    <wps:wsp>
                      <wps:cNvCnPr/>
                      <wps:spPr>
                        <a:xfrm>
                          <a:off x="934720" y="8942705"/>
                          <a:ext cx="56832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73.6pt;margin-top:693.15pt;height:0pt;width:447.5pt;z-index:251664384;mso-width-relative:page;mso-height-relative:page;" filled="f" stroked="t" coordsize="21600,21600" o:gfxdata="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kHOL9cAAAAOAQAADwAAAAAAAAABACAAAAAiAAAAZHJzL2Rvd25yZXYueG1sUEsBAhQAFAAA&#10;AAgAh07iQKgg8GfwAQAAvAMAAA4AAAAAAAAAAQAgAAAAJgEAAGRycy9lMm9Eb2MueG1sUEsFBgAA&#10;AAAGAAYAWQEAAIgFAAAAAA==&#10;">
                <v:fill on="f" focussize="0,0"/>
                <v:stroke weight="0.5pt" color="#000000 [3200]" miterlimit="8" joinstyle="miter"/>
                <v:imagedata o:title=""/>
                <o:lock v:ext="edit" aspectratio="f"/>
              </v:line>
            </w:pict>
          </mc:Fallback>
        </mc:AlternateContent>
      </w:r>
    </w:p>
    <w:p>
      <w:pPr>
        <w:rPr>
          <w:rFonts w:hint="eastAsia" w:ascii="仿宋" w:hAnsi="仿宋" w:eastAsia="仿宋" w:cs="仿宋"/>
          <w:sz w:val="32"/>
          <w:szCs w:val="32"/>
          <w:lang w:val="en-US" w:eastAsia="zh-CN"/>
        </w:rPr>
      </w:pPr>
      <w:r>
        <w:rPr>
          <w:sz w:val="32"/>
        </w:rPr>
        <mc:AlternateContent>
          <mc:Choice Requires="wps">
            <w:drawing>
              <wp:anchor distT="0" distB="0" distL="114300" distR="114300" simplePos="0" relativeHeight="251665408" behindDoc="0" locked="0" layoutInCell="1" allowOverlap="1">
                <wp:simplePos x="0" y="0"/>
                <wp:positionH relativeFrom="column">
                  <wp:posOffset>-127635</wp:posOffset>
                </wp:positionH>
                <wp:positionV relativeFrom="paragraph">
                  <wp:posOffset>384810</wp:posOffset>
                </wp:positionV>
                <wp:extent cx="5762625" cy="7620"/>
                <wp:effectExtent l="0" t="0" r="0" b="0"/>
                <wp:wrapNone/>
                <wp:docPr id="1" name="直接连接符 1"/>
                <wp:cNvGraphicFramePr/>
                <a:graphic xmlns:a="http://schemas.openxmlformats.org/drawingml/2006/main">
                  <a:graphicData uri="http://schemas.microsoft.com/office/word/2010/wordprocessingShape">
                    <wps:wsp>
                      <wps:cNvCnPr/>
                      <wps:spPr>
                        <a:xfrm flipV="1">
                          <a:off x="903605" y="8427085"/>
                          <a:ext cx="5762625" cy="762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flip:y;margin-left:-10.05pt;margin-top:30.3pt;height:0.6pt;width:453.75pt;z-index:251665408;mso-width-relative:page;mso-height-relative:page;" filled="f" stroked="t" coordsize="21600,21600" o:gfxdata="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AnEhQ3XAAAACQEAAA8AAAAAAAAAAQAgAAAAIgAAAGRycy9kb3ducmV2Lnht&#10;bFBLAQIUABQAAAAIAIdO4kA18PEy+gEAAMkDAAAOAAAAAAAAAAEAIAAAACYBAABkcnMvZTJvRG9j&#10;LnhtbFBLBQYAAAAABgAGAFkBAACSBQAAAAA=&#10;">
                <v:fill on="f" focussize="0,0"/>
                <v:stroke weight="0.5pt" color="#000000 [3200]" miterlimit="8" joinstyle="miter"/>
                <v:imagedata o:title=""/>
                <o:lock v:ext="edit" aspectratio="f"/>
              </v:line>
            </w:pict>
          </mc:Fallback>
        </mc:AlternateContent>
      </w:r>
      <w:r>
        <w:rPr>
          <w:sz w:val="32"/>
          <w:szCs w:val="32"/>
        </w:rPr>
        <mc:AlternateContent>
          <mc:Choice Requires="wps">
            <w:drawing>
              <wp:anchor distT="0" distB="0" distL="114300" distR="114300" simplePos="0" relativeHeight="251663360" behindDoc="0" locked="0" layoutInCell="1" allowOverlap="1">
                <wp:simplePos x="0" y="0"/>
                <wp:positionH relativeFrom="column">
                  <wp:posOffset>1239520</wp:posOffset>
                </wp:positionH>
                <wp:positionV relativeFrom="paragraph">
                  <wp:posOffset>9107805</wp:posOffset>
                </wp:positionV>
                <wp:extent cx="5683250" cy="0"/>
                <wp:effectExtent l="0" t="0" r="0" b="0"/>
                <wp:wrapNone/>
                <wp:docPr id="3" name="直接连接符 3"/>
                <wp:cNvGraphicFramePr/>
                <a:graphic xmlns:a="http://schemas.openxmlformats.org/drawingml/2006/main">
                  <a:graphicData uri="http://schemas.microsoft.com/office/word/2010/wordprocessingShape">
                    <wps:wsp>
                      <wps:cNvCnPr/>
                      <wps:spPr>
                        <a:xfrm>
                          <a:off x="934720" y="8942705"/>
                          <a:ext cx="5683250" cy="0"/>
                        </a:xfrm>
                        <a:prstGeom prst="line">
                          <a:avLst/>
                        </a:prstGeom>
                        <a:noFill/>
                        <a:ln w="635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margin-left:97.6pt;margin-top:717.15pt;height:0pt;width:447.5pt;z-index:251663360;mso-width-relative:page;mso-height-relative:page;" filled="f" stroked="t" coordsize="21600,21600" o:gfxdata="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jFVCHtgAAAAOAQAADwAAAAAAAAABACAAAAAiAAAAZHJzL2Rvd25yZXYueG1sUEsB&#10;AhQAFAAAAAgAh07iQC2rFZD1AQAAygMAAA4AAAAAAAAAAQAgAAAAJwEAAGRycy9lMm9Eb2MueG1s&#10;UEsFBgAAAAAGAAYAWQEAAI4FAAAAAA==&#10;">
                <v:fill on="f" focussize="0,0"/>
                <v:stroke weight="0.5pt" color="#000000" miterlimit="8" joinstyle="miter"/>
                <v:imagedata o:title=""/>
                <o:lock v:ext="edit" aspectratio="f"/>
              </v:line>
            </w:pict>
          </mc:Fallback>
        </mc:AlternateContent>
      </w:r>
      <w:r>
        <w:rPr>
          <w:sz w:val="32"/>
          <w:szCs w:val="32"/>
        </w:rPr>
        <mc:AlternateContent>
          <mc:Choice Requires="wps">
            <w:drawing>
              <wp:anchor distT="0" distB="0" distL="114300" distR="114300" simplePos="0" relativeHeight="251662336" behindDoc="0" locked="0" layoutInCell="1" allowOverlap="1">
                <wp:simplePos x="0" y="0"/>
                <wp:positionH relativeFrom="column">
                  <wp:posOffset>1087120</wp:posOffset>
                </wp:positionH>
                <wp:positionV relativeFrom="paragraph">
                  <wp:posOffset>8955405</wp:posOffset>
                </wp:positionV>
                <wp:extent cx="5683250" cy="0"/>
                <wp:effectExtent l="0" t="0" r="0" b="0"/>
                <wp:wrapNone/>
                <wp:docPr id="2" name="直接连接符 2"/>
                <wp:cNvGraphicFramePr/>
                <a:graphic xmlns:a="http://schemas.openxmlformats.org/drawingml/2006/main">
                  <a:graphicData uri="http://schemas.microsoft.com/office/word/2010/wordprocessingShape">
                    <wps:wsp>
                      <wps:cNvCnPr/>
                      <wps:spPr>
                        <a:xfrm>
                          <a:off x="934720" y="8942705"/>
                          <a:ext cx="56832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85.6pt;margin-top:705.15pt;height:0pt;width:447.5pt;z-index:251662336;mso-width-relative:page;mso-height-relative:page;" filled="f" stroked="t" coordsize="21600,21600" o:gfxdata="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IgH7y1wAAAA4BAAAPAAAAAAAAAAEAIAAAACIAAABkcnMvZG93bnJldi54bWxQSwECFAAUAAAA&#10;CACHTuJA2pvL0e8BAAC8AwAADgAAAAAAAAABACAAAAAmAQAAZHJzL2Uyb0RvYy54bWxQSwUGAAAA&#10;AAYABgBZAQAAhwUAAAAA&#10;">
                <v:fill on="f" focussize="0,0"/>
                <v:stroke weight="0.5pt" color="#000000 [3200]" miterlimit="8" joinstyle="miter"/>
                <v:imagedata o:title=""/>
                <o:lock v:ext="edit" aspectratio="f"/>
              </v:line>
            </w:pict>
          </mc:Fallback>
        </mc:AlternateContent>
      </w:r>
      <w:r>
        <w:rPr>
          <w:sz w:val="32"/>
          <w:szCs w:val="32"/>
        </w:rPr>
        <mc:AlternateContent>
          <mc:Choice Requires="wps">
            <w:drawing>
              <wp:anchor distT="0" distB="0" distL="114300" distR="114300" simplePos="0" relativeHeight="251661312" behindDoc="0" locked="0" layoutInCell="1" allowOverlap="1">
                <wp:simplePos x="0" y="0"/>
                <wp:positionH relativeFrom="column">
                  <wp:posOffset>934720</wp:posOffset>
                </wp:positionH>
                <wp:positionV relativeFrom="paragraph">
                  <wp:posOffset>8803005</wp:posOffset>
                </wp:positionV>
                <wp:extent cx="5683250" cy="0"/>
                <wp:effectExtent l="0" t="0" r="0" b="0"/>
                <wp:wrapNone/>
                <wp:docPr id="7" name="直接连接符 7"/>
                <wp:cNvGraphicFramePr/>
                <a:graphic xmlns:a="http://schemas.openxmlformats.org/drawingml/2006/main">
                  <a:graphicData uri="http://schemas.microsoft.com/office/word/2010/wordprocessingShape">
                    <wps:wsp>
                      <wps:cNvCnPr/>
                      <wps:spPr>
                        <a:xfrm>
                          <a:off x="934720" y="8942705"/>
                          <a:ext cx="5683250" cy="0"/>
                        </a:xfrm>
                        <a:prstGeom prst="line">
                          <a:avLst/>
                        </a:prstGeom>
                        <a:noFill/>
                        <a:ln w="635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margin-left:73.6pt;margin-top:693.15pt;height:0pt;width:447.5pt;z-index:251661312;mso-width-relative:page;mso-height-relative:page;" filled="f" stroked="t" coordsize="21600,21600" o:gfxdata="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SQc4v1wAAAA4BAAAPAAAAAAAAAAEAIAAAACIAAABkcnMvZG93bnJldi54bWxQSwEC&#10;FAAUAAAACACHTuJAPJKuyPUBAADKAwAADgAAAAAAAAABACAAAAAmAQAAZHJzL2Uyb0RvYy54bWxQ&#10;SwUGAAAAAAYABgBZAQAAjQUAAAAA&#10;">
                <v:fill on="f" focussize="0,0"/>
                <v:stroke weight="0.5pt" color="#000000" miterlimit="8" joinstyle="miter"/>
                <v:imagedata o:title=""/>
                <o:lock v:ext="edit" aspectratio="f"/>
              </v:line>
            </w:pict>
          </mc:Fallback>
        </mc:AlternateContent>
      </w:r>
      <w:r>
        <w:rPr>
          <w:rFonts w:hint="eastAsia" w:ascii="黑体" w:hAnsi="黑体" w:eastAsia="黑体" w:cs="黑体"/>
          <w:sz w:val="32"/>
          <w:szCs w:val="32"/>
          <w:lang w:val="en-US" w:eastAsia="zh-CN"/>
        </w:rPr>
        <w:t>信息公开选项</w:t>
      </w:r>
      <w:r>
        <w:rPr>
          <w:rFonts w:hint="eastAsia" w:ascii="仿宋" w:hAnsi="仿宋" w:eastAsia="仿宋" w:cs="仿宋"/>
          <w:sz w:val="32"/>
          <w:szCs w:val="32"/>
          <w:lang w:val="en-US" w:eastAsia="zh-CN"/>
        </w:rPr>
        <w:t>：主动公开</w:t>
      </w:r>
    </w:p>
    <w:p>
      <w:r>
        <w:rPr>
          <w:rFonts w:hint="default" w:ascii="Times New Roman" w:hAnsi="Times New Roman" w:eastAsia="仿宋_GB2312" w:cs="Times New Roman"/>
          <w:sz w:val="32"/>
        </w:rPr>
        <mc:AlternateContent>
          <mc:Choice Requires="wps">
            <w:drawing>
              <wp:anchor distT="0" distB="0" distL="114300" distR="114300" simplePos="0" relativeHeight="251667456" behindDoc="0" locked="0" layoutInCell="1" allowOverlap="1">
                <wp:simplePos x="0" y="0"/>
                <wp:positionH relativeFrom="column">
                  <wp:posOffset>-134620</wp:posOffset>
                </wp:positionH>
                <wp:positionV relativeFrom="paragraph">
                  <wp:posOffset>379095</wp:posOffset>
                </wp:positionV>
                <wp:extent cx="5762625" cy="7620"/>
                <wp:effectExtent l="0" t="0" r="0" b="0"/>
                <wp:wrapNone/>
                <wp:docPr id="8" name="直接连接符 8"/>
                <wp:cNvGraphicFramePr/>
                <a:graphic xmlns:a="http://schemas.openxmlformats.org/drawingml/2006/main">
                  <a:graphicData uri="http://schemas.microsoft.com/office/word/2010/wordprocessingShape">
                    <wps:wsp>
                      <wps:cNvCnPr/>
                      <wps:spPr>
                        <a:xfrm flipV="1">
                          <a:off x="0" y="0"/>
                          <a:ext cx="5762625" cy="762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flip:y;margin-left:-10.6pt;margin-top:29.85pt;height:0.6pt;width:453.75pt;z-index:251667456;mso-width-relative:page;mso-height-relative:page;" filled="f" stroked="t" coordsize="21600,21600" o:gfxdata="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XKQDXYAAAACQEAAA8AAAAAAAAAAQAgAAAAIgAAAGRycy9kb3ducmV2LnhtbFBLAQIUABQAAAAI&#10;AIdO4kCPSm/77QEAAL4DAAAOAAAAAAAAAAEAIAAAACcBAABkcnMvZTJvRG9jLnhtbFBLBQYAAAAA&#10;BgAGAFkBAACGBQAAAAA=&#10;">
                <v:fill on="f" focussize="0,0"/>
                <v:stroke weight="0.5pt" color="#000000 [3200]" miterlimit="8" joinstyle="miter"/>
                <v:imagedata o:title=""/>
                <o:lock v:ext="edit" aspectratio="f"/>
              </v:line>
            </w:pict>
          </mc:Fallback>
        </mc:AlternateContent>
      </w:r>
      <w:r>
        <w:rPr>
          <w:rFonts w:hint="default" w:ascii="Times New Roman" w:hAnsi="Times New Roman" w:eastAsia="仿宋_GB2312" w:cs="Times New Roman"/>
          <w:sz w:val="32"/>
          <w:szCs w:val="32"/>
          <w:lang w:val="en-US" w:eastAsia="zh-CN"/>
        </w:rPr>
        <w:t>随州市财政局办公室               2023年12月</w:t>
      </w:r>
      <w:r>
        <w:rPr>
          <w:rFonts w:hint="eastAsia" w:ascii="Times New Roman" w:hAnsi="Times New Roman" w:eastAsia="仿宋_GB2312" w:cs="Times New Roman"/>
          <w:sz w:val="32"/>
          <w:szCs w:val="32"/>
          <w:lang w:val="en-US" w:eastAsia="zh-CN"/>
        </w:rPr>
        <w:t>25</w:t>
      </w:r>
      <w:r>
        <w:rPr>
          <w:rFonts w:hint="default" w:ascii="Times New Roman" w:hAnsi="Times New Roman" w:eastAsia="仿宋_GB2312" w:cs="Times New Roman"/>
          <w:sz w:val="32"/>
          <w:szCs w:val="32"/>
          <w:lang w:val="en-US" w:eastAsia="zh-CN"/>
        </w:rPr>
        <w:t>日印发</w:t>
      </w:r>
      <w:r>
        <w:rPr>
          <w:sz w:val="32"/>
        </w:rPr>
        <mc:AlternateContent>
          <mc:Choice Requires="wps">
            <w:drawing>
              <wp:anchor distT="0" distB="0" distL="114300" distR="114300" simplePos="0" relativeHeight="251660288" behindDoc="0" locked="0" layoutInCell="1" allowOverlap="1">
                <wp:simplePos x="0" y="0"/>
                <wp:positionH relativeFrom="column">
                  <wp:posOffset>-239395</wp:posOffset>
                </wp:positionH>
                <wp:positionV relativeFrom="paragraph">
                  <wp:posOffset>7512685</wp:posOffset>
                </wp:positionV>
                <wp:extent cx="5762625" cy="7620"/>
                <wp:effectExtent l="0" t="0" r="0" b="0"/>
                <wp:wrapNone/>
                <wp:docPr id="6" name="直接连接符 6"/>
                <wp:cNvGraphicFramePr/>
                <a:graphic xmlns:a="http://schemas.openxmlformats.org/drawingml/2006/main">
                  <a:graphicData uri="http://schemas.microsoft.com/office/word/2010/wordprocessingShape">
                    <wps:wsp>
                      <wps:cNvCnPr/>
                      <wps:spPr>
                        <a:xfrm flipV="1">
                          <a:off x="0" y="0"/>
                          <a:ext cx="5762625" cy="762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flip:y;margin-left:-18.85pt;margin-top:591.55pt;height:0.6pt;width:453.75pt;z-index:251660288;mso-width-relative:page;mso-height-relative:page;" filled="f" stroked="t" coordsize="21600,21600" o:gfxdata="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4+MIH2QAAAA0BAAAPAAAAAAAAAAEAIAAAACIAAABkcnMvZG93bnJldi54bWxQSwECFAAUAAAA&#10;CACHTuJAIHlzR+0BAAC+AwAADgAAAAAAAAABACAAAAAoAQAAZHJzL2Uyb0RvYy54bWxQSwUGAAAA&#10;AAYABgBZAQAAhwUAAAAA&#10;">
                <v:fill on="f" focussize="0,0"/>
                <v:stroke weight="0.5pt" color="#000000 [3200]" miterlimit="8" joinstyle="miter"/>
                <v:imagedata o:title=""/>
                <o:lock v:ext="edit" aspectratio="f"/>
              </v:line>
            </w:pict>
          </mc:Fallback>
        </mc:AlternateContent>
      </w:r>
    </w:p>
    <w:sectPr>
      <w:footerReference r:id="rId3" w:type="default"/>
      <w:pgSz w:w="11906" w:h="16838"/>
      <w:pgMar w:top="1984" w:right="1587" w:bottom="1814" w:left="1587" w:header="851" w:footer="992" w:gutter="0"/>
      <w:paperSrc/>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宋三简体">
    <w:panose1 w:val="03000509000000000000"/>
    <w:charset w:val="86"/>
    <w:family w:val="auto"/>
    <w:pitch w:val="default"/>
    <w:sig w:usb0="00000001" w:usb1="080E0000" w:usb2="00000000" w:usb3="00000000" w:csb0="00040000" w:csb1="00000000"/>
  </w:font>
  <w:font w:name="方正康体简体">
    <w:panose1 w:val="03000509000000000000"/>
    <w:charset w:val="86"/>
    <w:family w:val="auto"/>
    <w:pitch w:val="default"/>
    <w:sig w:usb0="00000001" w:usb1="080E0000" w:usb2="00000000" w:usb3="00000000" w:csb0="00040000" w:csb1="00000000"/>
  </w:font>
  <w:font w:name="方正新舒体简体">
    <w:panose1 w:val="03000509000000000000"/>
    <w:charset w:val="86"/>
    <w:family w:val="auto"/>
    <w:pitch w:val="default"/>
    <w:sig w:usb0="00000001" w:usb1="080E0000" w:usb2="00000000" w:usb3="00000000" w:csb0="00040000" w:csb1="00000000"/>
  </w:font>
  <w:font w:name="方正祥隶简体">
    <w:panose1 w:val="03000509000000000000"/>
    <w:charset w:val="86"/>
    <w:family w:val="auto"/>
    <w:pitch w:val="default"/>
    <w:sig w:usb0="00000001" w:usb1="080E0000" w:usb2="00000000" w:usb3="00000000" w:csb0="00040000" w:csb1="00000000"/>
  </w:font>
  <w:font w:name="方正粗活意简体">
    <w:panose1 w:val="03000509000000000000"/>
    <w:charset w:val="86"/>
    <w:family w:val="auto"/>
    <w:pitch w:val="default"/>
    <w:sig w:usb0="00000001" w:usb1="080E0000" w:usb2="00000000" w:usb3="00000000" w:csb0="00040000" w:csb1="00000000"/>
  </w:font>
  <w:font w:name="方正美黑_GBK">
    <w:panose1 w:val="03000509000000000000"/>
    <w:charset w:val="86"/>
    <w:family w:val="auto"/>
    <w:pitch w:val="default"/>
    <w:sig w:usb0="00000001" w:usb1="080E0000" w:usb2="00000000" w:usb3="00000000" w:csb0="00040000" w:csb1="00000000"/>
  </w:font>
  <w:font w:name="方正胖娃_GBK">
    <w:panose1 w:val="03000509000000000000"/>
    <w:charset w:val="86"/>
    <w:family w:val="auto"/>
    <w:pitch w:val="default"/>
    <w:sig w:usb0="00000001" w:usb1="080E0000" w:usb2="00000000" w:usb3="00000000" w:csb0="00040000" w:csb1="00000000"/>
  </w:font>
  <w:font w:name="方正铁筋隶书简体">
    <w:panose1 w:val="03000509000000000000"/>
    <w:charset w:val="86"/>
    <w:family w:val="auto"/>
    <w:pitch w:val="default"/>
    <w:sig w:usb0="00000001" w:usb1="080E0000" w:usb2="00000000" w:usb3="00000000" w:csb0="00040000" w:csb1="00000000"/>
  </w:font>
  <w:font w:name="方正隶变简体">
    <w:panose1 w:val="03000509000000000000"/>
    <w:charset w:val="86"/>
    <w:family w:val="auto"/>
    <w:pitch w:val="default"/>
    <w:sig w:usb0="00000001" w:usb1="080E0000" w:usb2="00000000" w:usb3="00000000" w:csb0="00040000" w:csb1="00000000"/>
  </w:font>
  <w:font w:name="方正魏碑_GBK">
    <w:panose1 w:val="03000509000000000000"/>
    <w:charset w:val="86"/>
    <w:family w:val="auto"/>
    <w:pitch w:val="default"/>
    <w:sig w:usb0="00000001" w:usb1="080E0000" w:usb2="00000000" w:usb3="00000000" w:csb0="00040000" w:csb1="00000000"/>
  </w:font>
  <w:font w:name="方正黑体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-266700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default" w:ascii="Times New Roman" w:hAnsi="Times New Roman" w:cs="Times New Roman"/>
                              <w:sz w:val="24"/>
                              <w:szCs w:val="24"/>
                            </w:rPr>
                          </w:pPr>
                          <w:r>
                            <w:rPr>
                              <w:rFonts w:hint="default" w:ascii="Times New Roman" w:hAnsi="Times New Roman" w:cs="Times New Roman"/>
                              <w:sz w:val="24"/>
                              <w:szCs w:val="24"/>
                            </w:rPr>
                            <w:t xml:space="preserve">— </w:t>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  \* MERGEFORMAT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21pt;height:144pt;width:144pt;mso-position-horizontal:outside;mso-position-horizontal-relative:margin;mso-wrap-style:none;z-index:251659264;mso-width-relative:page;mso-height-relative:page;" filled="f" stroked="f" coordsize="21600,21600" o:gfxdata="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NJmfwNQAAAAIAQAADwAAAAAAAAABACAAAAAiAAAAZHJzL2Rvd25yZXYueG1sUEsB&#10;AhQAFAAAAAgAh07iQAKVIPQyAgAAYQQAAA4AAAAAAAAAAQAgAAAAIwEAAGRycy9lMm9Eb2MueG1s&#10;UEsFBgAAAAAGAAYAWQEAAMcFAAAAAA==&#10;">
              <v:fill on="f" focussize="0,0"/>
              <v:stroke on="f" weight="0.5pt"/>
              <v:imagedata o:title=""/>
              <o:lock v:ext="edit" aspectratio="f"/>
              <v:textbox inset="0mm,0mm,0mm,0mm" style="mso-fit-shape-to-text:t;">
                <w:txbxContent>
                  <w:p>
                    <w:pPr>
                      <w:pStyle w:val="2"/>
                      <w:rPr>
                        <w:rFonts w:hint="default" w:ascii="Times New Roman" w:hAnsi="Times New Roman" w:cs="Times New Roman"/>
                        <w:sz w:val="24"/>
                        <w:szCs w:val="24"/>
                      </w:rPr>
                    </w:pPr>
                    <w:r>
                      <w:rPr>
                        <w:rFonts w:hint="default" w:ascii="Times New Roman" w:hAnsi="Times New Roman" w:cs="Times New Roman"/>
                        <w:sz w:val="24"/>
                        <w:szCs w:val="24"/>
                      </w:rPr>
                      <w:t xml:space="preserve">— </w:t>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  \* MERGEFORMAT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IyMDI0Mzg1NmNlYTVkZDg1MTEwZWI2NzY0Zjg4NzUifQ=="/>
  </w:docVars>
  <w:rsids>
    <w:rsidRoot w:val="550C036C"/>
    <w:rsid w:val="0D3C03F2"/>
    <w:rsid w:val="3119173B"/>
    <w:rsid w:val="36366A48"/>
    <w:rsid w:val="3DE57D3C"/>
    <w:rsid w:val="42FF15B7"/>
    <w:rsid w:val="4835190D"/>
    <w:rsid w:val="4A315EB1"/>
    <w:rsid w:val="52764D58"/>
    <w:rsid w:val="550C036C"/>
    <w:rsid w:val="5C43547B"/>
    <w:rsid w:val="6E370002"/>
    <w:rsid w:val="6F175FFF"/>
    <w:rsid w:val="752E7277"/>
    <w:rsid w:val="7B1567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904</Words>
  <Characters>980</Characters>
  <Lines>0</Lines>
  <Paragraphs>0</Paragraphs>
  <TotalTime>19</TotalTime>
  <ScaleCrop>false</ScaleCrop>
  <LinksUpToDate>false</LinksUpToDate>
  <CharactersWithSpaces>1068</CharactersWithSpaces>
  <Application>WPS Office_11.1.0.15319_F1E327BC-269C-435d-A152-05C5408002CA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2021-11-08T03:25:00Z</dcterms:created>
  <dc:creator>UserPASS</dc:creator>
  <cp:lastModifiedBy>WPS_1601385079</cp:lastModifiedBy>
  <cp:lastPrinted>2023-12-25T02:50:34Z</cp:lastPrinted>
  <dcterms:modified xsi:type="dcterms:W3CDTF">2023-12-25T03:00:06Z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2052-11.1.0.15319</vt:lpwstr>
  </property>
  <property fmtid="{D5CDD505-2E9C-101B-9397-08002B2CF9AE}" pid="3" name="ICV">
    <vt:lpwstr>3581CB2E7F3F4A6EA1A08346D72C69A7</vt:lpwstr>
  </property>
</Properties>
</file>